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6118" w14:textId="77777777" w:rsidR="00623F1A" w:rsidRPr="005170C9" w:rsidRDefault="00623F1A" w:rsidP="00ED7808">
      <w:pPr>
        <w:jc w:val="both"/>
        <w:rPr>
          <w:rFonts w:ascii="Helvetica Neue" w:hAnsi="Helvetica Neue" w:cs="Helvetica"/>
          <w:sz w:val="22"/>
          <w:szCs w:val="22"/>
          <w:lang w:val="en-US"/>
        </w:rPr>
      </w:pPr>
      <w:r w:rsidRPr="005170C9">
        <w:rPr>
          <w:rFonts w:ascii="Helvetica" w:hAnsi="Helvetica" w:cs="Helvetica"/>
          <w:noProof/>
          <w:sz w:val="22"/>
          <w:szCs w:val="22"/>
          <w:lang w:val="en-US"/>
        </w:rPr>
        <w:drawing>
          <wp:inline distT="0" distB="0" distL="0" distR="0" wp14:anchorId="2FC43DD6" wp14:editId="5F3F151A">
            <wp:extent cx="2465917" cy="11380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917" cy="1138031"/>
                    </a:xfrm>
                    <a:prstGeom prst="rect">
                      <a:avLst/>
                    </a:prstGeom>
                    <a:noFill/>
                    <a:ln>
                      <a:noFill/>
                    </a:ln>
                  </pic:spPr>
                </pic:pic>
              </a:graphicData>
            </a:graphic>
          </wp:inline>
        </w:drawing>
      </w:r>
    </w:p>
    <w:p w14:paraId="1846B0C2" w14:textId="77777777" w:rsidR="00D228EC" w:rsidRPr="005170C9" w:rsidRDefault="00D228EC" w:rsidP="00ED7808">
      <w:pPr>
        <w:jc w:val="both"/>
        <w:rPr>
          <w:rFonts w:ascii="Helvetica Neue" w:hAnsi="Helvetica Neue" w:cs="Helvetica"/>
          <w:sz w:val="22"/>
          <w:szCs w:val="22"/>
          <w:lang w:val="en-US"/>
        </w:rPr>
      </w:pPr>
    </w:p>
    <w:p w14:paraId="6AF7D08D" w14:textId="77777777" w:rsidR="0077611C" w:rsidRDefault="00D228EC"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 xml:space="preserve">Australian Lawyers for Human Rights (ALHR) </w:t>
      </w:r>
      <w:r w:rsidR="00F04A51" w:rsidRPr="005170C9">
        <w:rPr>
          <w:rFonts w:ascii="Helvetica Neue" w:hAnsi="Helvetica Neue" w:cs="Helvetica"/>
          <w:sz w:val="22"/>
          <w:szCs w:val="22"/>
          <w:lang w:val="en-US"/>
        </w:rPr>
        <w:t>believe</w:t>
      </w:r>
      <w:r w:rsidR="006E43DD" w:rsidRPr="005170C9">
        <w:rPr>
          <w:rFonts w:ascii="Helvetica Neue" w:hAnsi="Helvetica Neue" w:cs="Helvetica"/>
          <w:sz w:val="22"/>
          <w:szCs w:val="22"/>
          <w:lang w:val="en-US"/>
        </w:rPr>
        <w:t>s</w:t>
      </w:r>
      <w:r w:rsidR="00F04A51" w:rsidRPr="005170C9">
        <w:rPr>
          <w:rFonts w:ascii="Helvetica Neue" w:hAnsi="Helvetica Neue" w:cs="Helvetica"/>
          <w:sz w:val="22"/>
          <w:szCs w:val="22"/>
          <w:lang w:val="en-US"/>
        </w:rPr>
        <w:t xml:space="preserve"> </w:t>
      </w:r>
      <w:r w:rsidRPr="005170C9">
        <w:rPr>
          <w:rFonts w:ascii="Helvetica Neue" w:hAnsi="Helvetica Neue" w:cs="Helvetica"/>
          <w:sz w:val="22"/>
          <w:szCs w:val="22"/>
          <w:lang w:val="en-US"/>
        </w:rPr>
        <w:t xml:space="preserve">that </w:t>
      </w:r>
      <w:r w:rsidR="007A4B67" w:rsidRPr="005170C9">
        <w:rPr>
          <w:rFonts w:ascii="Helvetica Neue" w:hAnsi="Helvetica Neue" w:cs="Helvetica"/>
          <w:sz w:val="22"/>
          <w:szCs w:val="22"/>
          <w:lang w:val="en-US"/>
        </w:rPr>
        <w:t>all human rights</w:t>
      </w:r>
      <w:r w:rsidRPr="005170C9">
        <w:rPr>
          <w:rFonts w:ascii="Helvetica Neue" w:hAnsi="Helvetica Neue" w:cs="Helvetica"/>
          <w:sz w:val="22"/>
          <w:szCs w:val="22"/>
          <w:lang w:val="en-US"/>
        </w:rPr>
        <w:t xml:space="preserve"> should be protected </w:t>
      </w:r>
      <w:r w:rsidR="00B72464" w:rsidRPr="005170C9">
        <w:rPr>
          <w:rFonts w:ascii="Helvetica Neue" w:hAnsi="Helvetica Neue" w:cs="Helvetica"/>
          <w:sz w:val="22"/>
          <w:szCs w:val="22"/>
          <w:lang w:val="en-US"/>
        </w:rPr>
        <w:t xml:space="preserve">in Australia </w:t>
      </w:r>
      <w:r w:rsidR="00D83C66" w:rsidRPr="005170C9">
        <w:rPr>
          <w:rFonts w:ascii="Helvetica Neue" w:hAnsi="Helvetica Neue" w:cs="Helvetica"/>
          <w:sz w:val="22"/>
          <w:szCs w:val="22"/>
          <w:lang w:val="en-US"/>
        </w:rPr>
        <w:t xml:space="preserve">at </w:t>
      </w:r>
      <w:r w:rsidR="00693047" w:rsidRPr="005170C9">
        <w:rPr>
          <w:rFonts w:ascii="Helvetica Neue" w:hAnsi="Helvetica Neue" w:cs="Helvetica"/>
          <w:sz w:val="22"/>
          <w:szCs w:val="22"/>
          <w:lang w:val="en-US"/>
        </w:rPr>
        <w:t xml:space="preserve">the </w:t>
      </w:r>
      <w:r w:rsidR="00D83C66" w:rsidRPr="005170C9">
        <w:rPr>
          <w:rFonts w:ascii="Helvetica Neue" w:hAnsi="Helvetica Neue" w:cs="Helvetica"/>
          <w:sz w:val="22"/>
          <w:szCs w:val="22"/>
          <w:lang w:val="en-US"/>
        </w:rPr>
        <w:t xml:space="preserve">federal level </w:t>
      </w:r>
      <w:r w:rsidR="00F04A51" w:rsidRPr="005170C9">
        <w:rPr>
          <w:rFonts w:ascii="Helvetica Neue" w:hAnsi="Helvetica Neue" w:cs="Helvetica"/>
          <w:sz w:val="22"/>
          <w:szCs w:val="22"/>
          <w:lang w:val="en-US"/>
        </w:rPr>
        <w:t>through the adoption of an Australian Bill of Rights</w:t>
      </w:r>
      <w:r w:rsidR="004103F3">
        <w:rPr>
          <w:rFonts w:ascii="Helvetica Neue" w:hAnsi="Helvetica Neue" w:cs="Helvetica"/>
          <w:sz w:val="22"/>
          <w:szCs w:val="22"/>
          <w:lang w:val="en-US"/>
        </w:rPr>
        <w:t xml:space="preserve">.  But until </w:t>
      </w:r>
      <w:r w:rsidR="00393112">
        <w:rPr>
          <w:rFonts w:ascii="Helvetica Neue" w:hAnsi="Helvetica Neue" w:cs="Helvetica"/>
          <w:sz w:val="22"/>
          <w:szCs w:val="22"/>
          <w:lang w:val="en-US"/>
        </w:rPr>
        <w:t xml:space="preserve">that until that day comes, it is essential </w:t>
      </w:r>
      <w:r w:rsidR="00DF2033">
        <w:rPr>
          <w:rFonts w:ascii="Helvetica Neue" w:hAnsi="Helvetica Neue" w:cs="Helvetica"/>
          <w:sz w:val="22"/>
          <w:szCs w:val="22"/>
          <w:lang w:val="en-US"/>
        </w:rPr>
        <w:t xml:space="preserve">for us </w:t>
      </w:r>
      <w:r w:rsidR="00393112">
        <w:rPr>
          <w:rFonts w:ascii="Helvetica Neue" w:hAnsi="Helvetica Neue" w:cs="Helvetica"/>
          <w:sz w:val="22"/>
          <w:szCs w:val="22"/>
          <w:lang w:val="en-US"/>
        </w:rPr>
        <w:t xml:space="preserve">to support and strengthen the </w:t>
      </w:r>
      <w:r w:rsidR="00DF2033">
        <w:rPr>
          <w:rFonts w:ascii="Helvetica Neue" w:hAnsi="Helvetica Neue" w:cs="Helvetica"/>
          <w:sz w:val="22"/>
          <w:szCs w:val="22"/>
          <w:lang w:val="en-US"/>
        </w:rPr>
        <w:t xml:space="preserve">reasonable </w:t>
      </w:r>
      <w:r w:rsidR="00393112">
        <w:rPr>
          <w:rFonts w:ascii="Helvetica Neue" w:hAnsi="Helvetica Neue" w:cs="Helvetica"/>
          <w:sz w:val="22"/>
          <w:szCs w:val="22"/>
          <w:lang w:val="en-US"/>
        </w:rPr>
        <w:t>protections</w:t>
      </w:r>
      <w:r w:rsidR="00DF2033">
        <w:rPr>
          <w:rFonts w:ascii="Helvetica Neue" w:hAnsi="Helvetica Neue" w:cs="Helvetica"/>
          <w:sz w:val="22"/>
          <w:szCs w:val="22"/>
          <w:lang w:val="en-US"/>
        </w:rPr>
        <w:t xml:space="preserve"> from racial vilification contained</w:t>
      </w:r>
      <w:r w:rsidR="00393112">
        <w:rPr>
          <w:rFonts w:ascii="Helvetica Neue" w:hAnsi="Helvetica Neue" w:cs="Helvetica"/>
          <w:sz w:val="22"/>
          <w:szCs w:val="22"/>
          <w:lang w:val="en-US"/>
        </w:rPr>
        <w:t xml:space="preserve"> in sections 18C and 18D of the </w:t>
      </w:r>
      <w:r w:rsidR="00393112" w:rsidRPr="005170C9">
        <w:rPr>
          <w:rFonts w:ascii="Helvetica Neue" w:hAnsi="Helvetica Neue" w:cs="Helvetica"/>
          <w:i/>
          <w:sz w:val="22"/>
          <w:szCs w:val="22"/>
          <w:lang w:val="en-US"/>
        </w:rPr>
        <w:t>Racial Discrimination Act</w:t>
      </w:r>
      <w:r w:rsidR="00393112" w:rsidRPr="005170C9">
        <w:rPr>
          <w:rFonts w:ascii="Helvetica Neue" w:hAnsi="Helvetica Neue" w:cs="Helvetica"/>
          <w:sz w:val="22"/>
          <w:szCs w:val="22"/>
          <w:lang w:val="en-US"/>
        </w:rPr>
        <w:t xml:space="preserve"> (RDA</w:t>
      </w:r>
      <w:r w:rsidR="00393112">
        <w:rPr>
          <w:rFonts w:ascii="Helvetica Neue" w:hAnsi="Helvetica Neue" w:cs="Helvetica"/>
          <w:sz w:val="22"/>
          <w:szCs w:val="22"/>
          <w:lang w:val="en-US"/>
        </w:rPr>
        <w:t>)</w:t>
      </w:r>
      <w:r w:rsidR="00393112" w:rsidRPr="005170C9">
        <w:rPr>
          <w:rFonts w:ascii="Helvetica Neue" w:hAnsi="Helvetica Neue" w:cs="Helvetica"/>
          <w:sz w:val="22"/>
          <w:szCs w:val="22"/>
          <w:lang w:val="en-US"/>
        </w:rPr>
        <w:t xml:space="preserve">.  </w:t>
      </w:r>
    </w:p>
    <w:p w14:paraId="40089567" w14:textId="77777777" w:rsidR="0077611C" w:rsidRDefault="0077611C" w:rsidP="00ED7808">
      <w:pPr>
        <w:jc w:val="both"/>
        <w:rPr>
          <w:rFonts w:ascii="Helvetica Neue" w:hAnsi="Helvetica Neue" w:cs="Helvetica"/>
          <w:sz w:val="22"/>
          <w:szCs w:val="22"/>
          <w:lang w:val="en-US"/>
        </w:rPr>
      </w:pPr>
    </w:p>
    <w:p w14:paraId="245864B7" w14:textId="77777777" w:rsidR="001E053D" w:rsidRPr="001E053D" w:rsidRDefault="001E053D" w:rsidP="00ED7808">
      <w:pPr>
        <w:keepNext/>
        <w:jc w:val="both"/>
        <w:rPr>
          <w:rFonts w:ascii="Helvetica Neue" w:hAnsi="Helvetica Neue" w:cs="Helvetica"/>
          <w:b/>
          <w:sz w:val="22"/>
          <w:szCs w:val="22"/>
          <w:lang w:val="en-US"/>
        </w:rPr>
      </w:pPr>
      <w:r w:rsidRPr="001E053D">
        <w:rPr>
          <w:rFonts w:ascii="Helvetica Neue" w:hAnsi="Helvetica Neue" w:cs="Helvetica"/>
          <w:b/>
          <w:sz w:val="22"/>
          <w:szCs w:val="22"/>
          <w:lang w:val="en-US"/>
        </w:rPr>
        <w:t>Australia is different from other first world democracies</w:t>
      </w:r>
    </w:p>
    <w:p w14:paraId="6E1C8137" w14:textId="77777777" w:rsidR="001E053D" w:rsidRDefault="001E053D" w:rsidP="00ED7808">
      <w:pPr>
        <w:keepNext/>
        <w:jc w:val="both"/>
        <w:rPr>
          <w:rFonts w:ascii="Helvetica Neue" w:hAnsi="Helvetica Neue" w:cs="Helvetica"/>
          <w:sz w:val="22"/>
          <w:szCs w:val="22"/>
          <w:lang w:val="en-US"/>
        </w:rPr>
      </w:pPr>
    </w:p>
    <w:p w14:paraId="569618C9" w14:textId="77777777" w:rsidR="0077611C" w:rsidRDefault="0077611C"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 xml:space="preserve">Human rights can only be enjoyed within any country through </w:t>
      </w:r>
      <w:proofErr w:type="gramStart"/>
      <w:r w:rsidRPr="005170C9">
        <w:rPr>
          <w:rFonts w:ascii="Helvetica Neue" w:hAnsi="Helvetica Neue" w:cs="Helvetica"/>
          <w:sz w:val="22"/>
          <w:szCs w:val="22"/>
          <w:lang w:val="en-US"/>
        </w:rPr>
        <w:t>legislation which</w:t>
      </w:r>
      <w:proofErr w:type="gramEnd"/>
      <w:r w:rsidRPr="005170C9">
        <w:rPr>
          <w:rFonts w:ascii="Helvetica Neue" w:hAnsi="Helvetica Neue" w:cs="Helvetica"/>
          <w:sz w:val="22"/>
          <w:szCs w:val="22"/>
          <w:lang w:val="en-US"/>
        </w:rPr>
        <w:t xml:space="preserve"> protects human rights – or which restricts activities that breach human rights, as does anti-discrimination law.  Other countries’ laws and constitutions specifically protect human rights and the right to be treated with dignity and so th</w:t>
      </w:r>
      <w:r>
        <w:rPr>
          <w:rFonts w:ascii="Helvetica Neue" w:hAnsi="Helvetica Neue" w:cs="Helvetica"/>
          <w:sz w:val="22"/>
          <w:szCs w:val="22"/>
          <w:lang w:val="en-US"/>
        </w:rPr>
        <w:t>ose countries</w:t>
      </w:r>
      <w:r w:rsidRPr="005170C9">
        <w:rPr>
          <w:rFonts w:ascii="Helvetica Neue" w:hAnsi="Helvetica Neue" w:cs="Helvetica"/>
          <w:sz w:val="22"/>
          <w:szCs w:val="22"/>
          <w:lang w:val="en-US"/>
        </w:rPr>
        <w:t xml:space="preserve"> do not need specific anti-discrimination legislation.  That is not the situation in Australia.  </w:t>
      </w:r>
    </w:p>
    <w:p w14:paraId="5741AFF5" w14:textId="77777777" w:rsidR="0077611C" w:rsidRDefault="0077611C" w:rsidP="00ED7808">
      <w:pPr>
        <w:jc w:val="both"/>
        <w:rPr>
          <w:rFonts w:ascii="Helvetica Neue" w:hAnsi="Helvetica Neue" w:cs="Helvetica"/>
          <w:sz w:val="22"/>
          <w:szCs w:val="22"/>
          <w:lang w:val="en-US"/>
        </w:rPr>
      </w:pPr>
    </w:p>
    <w:p w14:paraId="0E083B26" w14:textId="77777777" w:rsidR="006E43DD" w:rsidRPr="005170C9" w:rsidRDefault="006E43DD"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 xml:space="preserve">It is because Australia has no Bill of Rights that we need specific legislation to prevent the infringement of </w:t>
      </w:r>
      <w:r w:rsidR="00B72464" w:rsidRPr="005170C9">
        <w:rPr>
          <w:rFonts w:ascii="Helvetica Neue" w:hAnsi="Helvetica Neue" w:cs="Helvetica"/>
          <w:sz w:val="22"/>
          <w:szCs w:val="22"/>
          <w:lang w:val="en-US"/>
        </w:rPr>
        <w:t xml:space="preserve">various </w:t>
      </w:r>
      <w:r w:rsidRPr="005170C9">
        <w:rPr>
          <w:rFonts w:ascii="Helvetica Neue" w:hAnsi="Helvetica Neue" w:cs="Helvetica"/>
          <w:sz w:val="22"/>
          <w:szCs w:val="22"/>
          <w:lang w:val="en-US"/>
        </w:rPr>
        <w:t>human rights</w:t>
      </w:r>
      <w:r w:rsidR="00B72464" w:rsidRPr="005170C9">
        <w:rPr>
          <w:rFonts w:ascii="Helvetica Neue" w:hAnsi="Helvetica Neue" w:cs="Helvetica"/>
          <w:sz w:val="22"/>
          <w:szCs w:val="22"/>
          <w:lang w:val="en-US"/>
        </w:rPr>
        <w:t xml:space="preserve"> </w:t>
      </w:r>
      <w:r w:rsidR="00451468">
        <w:rPr>
          <w:rFonts w:ascii="Helvetica Neue" w:hAnsi="Helvetica Neue" w:cs="Helvetica"/>
          <w:sz w:val="22"/>
          <w:szCs w:val="22"/>
          <w:lang w:val="en-US"/>
        </w:rPr>
        <w:t xml:space="preserve"> - </w:t>
      </w:r>
      <w:r w:rsidR="00B72464" w:rsidRPr="005170C9">
        <w:rPr>
          <w:rFonts w:ascii="Helvetica Neue" w:hAnsi="Helvetica Neue" w:cs="Helvetica"/>
          <w:sz w:val="22"/>
          <w:szCs w:val="22"/>
          <w:lang w:val="en-US"/>
        </w:rPr>
        <w:t>and this is why we have Commonwealth anti-discrimination legislation</w:t>
      </w:r>
      <w:r w:rsidR="001E7866">
        <w:rPr>
          <w:rFonts w:ascii="Helvetica Neue" w:hAnsi="Helvetica Neue" w:cs="Helvetica"/>
          <w:sz w:val="22"/>
          <w:szCs w:val="22"/>
          <w:lang w:val="en-US"/>
        </w:rPr>
        <w:t xml:space="preserve"> including the</w:t>
      </w:r>
      <w:r w:rsidR="000D1322" w:rsidRPr="005170C9">
        <w:rPr>
          <w:rFonts w:ascii="Helvetica Neue" w:hAnsi="Helvetica Neue" w:cs="Helvetica"/>
          <w:sz w:val="22"/>
          <w:szCs w:val="22"/>
          <w:lang w:val="en-US"/>
        </w:rPr>
        <w:t xml:space="preserve"> </w:t>
      </w:r>
      <w:r w:rsidR="00B97FFD" w:rsidRPr="00B97FFD">
        <w:rPr>
          <w:rFonts w:ascii="Helvetica Neue" w:hAnsi="Helvetica Neue" w:cs="Helvetica"/>
          <w:sz w:val="22"/>
          <w:szCs w:val="22"/>
          <w:lang w:val="en-US"/>
        </w:rPr>
        <w:t>RDA.</w:t>
      </w:r>
      <w:r w:rsidRPr="00B97FFD">
        <w:rPr>
          <w:rFonts w:ascii="Helvetica Neue" w:hAnsi="Helvetica Neue" w:cs="Helvetica"/>
          <w:sz w:val="22"/>
          <w:szCs w:val="22"/>
          <w:lang w:val="en-US"/>
        </w:rPr>
        <w:t xml:space="preserve">  </w:t>
      </w:r>
    </w:p>
    <w:p w14:paraId="6CD1DEEB" w14:textId="77777777" w:rsidR="006E43DD" w:rsidRPr="005170C9" w:rsidRDefault="006E43DD" w:rsidP="00ED7808">
      <w:pPr>
        <w:jc w:val="both"/>
        <w:rPr>
          <w:rFonts w:ascii="Helvetica Neue" w:hAnsi="Helvetica Neue" w:cs="Helvetica"/>
          <w:sz w:val="22"/>
          <w:szCs w:val="22"/>
          <w:lang w:val="en-US"/>
        </w:rPr>
      </w:pPr>
    </w:p>
    <w:p w14:paraId="4A61CD77" w14:textId="77777777" w:rsidR="001E053D" w:rsidRPr="001E053D" w:rsidRDefault="001E053D" w:rsidP="00ED7808">
      <w:pPr>
        <w:keepNext/>
        <w:jc w:val="both"/>
        <w:rPr>
          <w:rFonts w:ascii="Helvetica Neue" w:hAnsi="Helvetica Neue" w:cs="Helvetica"/>
          <w:b/>
          <w:sz w:val="22"/>
          <w:szCs w:val="22"/>
          <w:lang w:val="en-US"/>
        </w:rPr>
      </w:pPr>
      <w:r w:rsidRPr="001E053D">
        <w:rPr>
          <w:rFonts w:ascii="Helvetica Neue" w:hAnsi="Helvetica Neue" w:cs="Helvetica"/>
          <w:b/>
          <w:sz w:val="22"/>
          <w:szCs w:val="22"/>
          <w:lang w:val="en-US"/>
        </w:rPr>
        <w:t>Human rights work together, not apart</w:t>
      </w:r>
    </w:p>
    <w:p w14:paraId="25141DE2" w14:textId="77777777" w:rsidR="001E053D" w:rsidRDefault="001E053D" w:rsidP="00ED7808">
      <w:pPr>
        <w:keepNext/>
        <w:jc w:val="both"/>
        <w:rPr>
          <w:rFonts w:ascii="Helvetica Neue" w:hAnsi="Helvetica Neue" w:cs="Helvetica"/>
          <w:sz w:val="22"/>
          <w:szCs w:val="22"/>
          <w:lang w:val="en-US"/>
        </w:rPr>
      </w:pPr>
    </w:p>
    <w:p w14:paraId="0FCB1DCD" w14:textId="77777777" w:rsidR="006E43DD" w:rsidRPr="005170C9" w:rsidRDefault="006E43DD"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No human right is absolute, or protected above all others</w:t>
      </w:r>
      <w:r w:rsidR="002C6B76" w:rsidRPr="005170C9">
        <w:rPr>
          <w:rFonts w:ascii="Helvetica Neue" w:hAnsi="Helvetica Neue" w:cs="Helvetica"/>
          <w:sz w:val="22"/>
          <w:szCs w:val="22"/>
          <w:lang w:val="en-US"/>
        </w:rPr>
        <w:t xml:space="preserve"> in any of these countries</w:t>
      </w:r>
      <w:r w:rsidRPr="005170C9">
        <w:rPr>
          <w:rFonts w:ascii="Helvetica Neue" w:hAnsi="Helvetica Neue" w:cs="Helvetica"/>
          <w:sz w:val="22"/>
          <w:szCs w:val="22"/>
          <w:lang w:val="en-US"/>
        </w:rPr>
        <w:t xml:space="preserve">, because </w:t>
      </w:r>
      <w:r w:rsidR="0014777D" w:rsidRPr="005170C9">
        <w:rPr>
          <w:rFonts w:ascii="Helvetica Neue" w:hAnsi="Helvetica Neue" w:cs="Helvetica"/>
          <w:sz w:val="22"/>
          <w:szCs w:val="22"/>
          <w:lang w:val="en-US"/>
        </w:rPr>
        <w:t>rights can conflict</w:t>
      </w:r>
      <w:r w:rsidRPr="005170C9">
        <w:rPr>
          <w:rFonts w:ascii="Helvetica Neue" w:hAnsi="Helvetica Neue" w:cs="Helvetica"/>
          <w:sz w:val="22"/>
          <w:szCs w:val="22"/>
          <w:lang w:val="en-US"/>
        </w:rPr>
        <w:t xml:space="preserve">.  For example, the right to say what one wishes in public must be balanced against the </w:t>
      </w:r>
      <w:r w:rsidR="005A7B48">
        <w:rPr>
          <w:rFonts w:ascii="Helvetica Neue" w:hAnsi="Helvetica Neue" w:cs="Helvetica"/>
          <w:sz w:val="22"/>
          <w:szCs w:val="22"/>
          <w:lang w:val="en-US"/>
        </w:rPr>
        <w:t xml:space="preserve">right to be free from the </w:t>
      </w:r>
      <w:r w:rsidRPr="005170C9">
        <w:rPr>
          <w:rFonts w:ascii="Helvetica Neue" w:hAnsi="Helvetica Neue" w:cs="Helvetica"/>
          <w:sz w:val="22"/>
          <w:szCs w:val="22"/>
          <w:lang w:val="en-US"/>
        </w:rPr>
        <w:t xml:space="preserve">harm that some kinds of </w:t>
      </w:r>
      <w:r w:rsidR="00F20E4A" w:rsidRPr="005170C9">
        <w:rPr>
          <w:rFonts w:ascii="Helvetica Neue" w:hAnsi="Helvetica Neue" w:cs="Helvetica"/>
          <w:sz w:val="22"/>
          <w:szCs w:val="22"/>
          <w:lang w:val="en-US"/>
        </w:rPr>
        <w:t xml:space="preserve">public </w:t>
      </w:r>
      <w:r w:rsidRPr="005170C9">
        <w:rPr>
          <w:rFonts w:ascii="Helvetica Neue" w:hAnsi="Helvetica Neue" w:cs="Helvetica"/>
          <w:sz w:val="22"/>
          <w:szCs w:val="22"/>
          <w:lang w:val="en-US"/>
        </w:rPr>
        <w:t xml:space="preserve">speech can cause.  </w:t>
      </w:r>
    </w:p>
    <w:p w14:paraId="7E430BDF" w14:textId="77777777" w:rsidR="006E43DD" w:rsidRPr="005170C9" w:rsidRDefault="006E43DD" w:rsidP="00ED7808">
      <w:pPr>
        <w:jc w:val="both"/>
        <w:rPr>
          <w:rFonts w:ascii="Helvetica Neue" w:hAnsi="Helvetica Neue" w:cs="Helvetica"/>
          <w:sz w:val="22"/>
          <w:szCs w:val="22"/>
          <w:lang w:val="en-US"/>
        </w:rPr>
      </w:pPr>
    </w:p>
    <w:p w14:paraId="6D2B785F" w14:textId="77777777" w:rsidR="00F04A51" w:rsidRPr="005170C9" w:rsidRDefault="006E43DD"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This is why in Australia we have defamation and public offence laws, which can severely ‘chill’ public speech.  And many types of speech</w:t>
      </w:r>
      <w:r w:rsidR="006C57B7" w:rsidRPr="005170C9">
        <w:rPr>
          <w:rFonts w:ascii="Helvetica Neue" w:hAnsi="Helvetica Neue" w:cs="Helvetica"/>
          <w:sz w:val="22"/>
          <w:szCs w:val="22"/>
          <w:lang w:val="en-US"/>
        </w:rPr>
        <w:t>, such as</w:t>
      </w:r>
      <w:r w:rsidRPr="005170C9">
        <w:rPr>
          <w:rFonts w:ascii="Helvetica Neue" w:hAnsi="Helvetica Neue" w:cs="Helvetica"/>
          <w:sz w:val="22"/>
          <w:szCs w:val="22"/>
          <w:lang w:val="en-US"/>
        </w:rPr>
        <w:t xml:space="preserve"> relating to migration issues or national security</w:t>
      </w:r>
      <w:r w:rsidR="006C57B7" w:rsidRPr="005170C9">
        <w:rPr>
          <w:rFonts w:ascii="Helvetica Neue" w:hAnsi="Helvetica Neue" w:cs="Helvetica"/>
          <w:sz w:val="22"/>
          <w:szCs w:val="22"/>
          <w:lang w:val="en-US"/>
        </w:rPr>
        <w:t>,</w:t>
      </w:r>
      <w:r w:rsidRPr="005170C9">
        <w:rPr>
          <w:rFonts w:ascii="Helvetica Neue" w:hAnsi="Helvetica Neue" w:cs="Helvetica"/>
          <w:sz w:val="22"/>
          <w:szCs w:val="22"/>
          <w:lang w:val="en-US"/>
        </w:rPr>
        <w:t xml:space="preserve"> are even </w:t>
      </w:r>
      <w:proofErr w:type="spellStart"/>
      <w:r w:rsidRPr="005170C9">
        <w:rPr>
          <w:rFonts w:ascii="Helvetica Neue" w:hAnsi="Helvetica Neue" w:cs="Helvetica"/>
          <w:sz w:val="22"/>
          <w:szCs w:val="22"/>
          <w:lang w:val="en-US"/>
        </w:rPr>
        <w:t>criminalised</w:t>
      </w:r>
      <w:proofErr w:type="spellEnd"/>
      <w:r w:rsidR="006C57B7" w:rsidRPr="005170C9">
        <w:rPr>
          <w:rFonts w:ascii="Helvetica Neue" w:hAnsi="Helvetica Neue" w:cs="Helvetica"/>
          <w:sz w:val="22"/>
          <w:szCs w:val="22"/>
          <w:lang w:val="en-US"/>
        </w:rPr>
        <w:t xml:space="preserve"> in Australia today</w:t>
      </w:r>
      <w:r w:rsidRPr="005170C9">
        <w:rPr>
          <w:rFonts w:ascii="Helvetica Neue" w:hAnsi="Helvetica Neue" w:cs="Helvetica"/>
          <w:sz w:val="22"/>
          <w:szCs w:val="22"/>
          <w:lang w:val="en-US"/>
        </w:rPr>
        <w:t>.</w:t>
      </w:r>
    </w:p>
    <w:p w14:paraId="37B5D936" w14:textId="77777777" w:rsidR="006E43DD" w:rsidRPr="005170C9" w:rsidRDefault="006E43DD" w:rsidP="00ED7808">
      <w:pPr>
        <w:jc w:val="both"/>
        <w:rPr>
          <w:rFonts w:ascii="Helvetica Neue" w:hAnsi="Helvetica Neue" w:cs="Helvetica"/>
          <w:sz w:val="22"/>
          <w:szCs w:val="22"/>
          <w:lang w:val="en-US"/>
        </w:rPr>
      </w:pPr>
    </w:p>
    <w:p w14:paraId="565ABA77" w14:textId="77777777" w:rsidR="00E201BF" w:rsidRPr="00E201BF" w:rsidRDefault="00E201BF" w:rsidP="00ED7808">
      <w:pPr>
        <w:keepNext/>
        <w:jc w:val="both"/>
        <w:rPr>
          <w:rFonts w:ascii="Helvetica Neue" w:hAnsi="Helvetica Neue" w:cs="Helvetica"/>
          <w:b/>
          <w:sz w:val="22"/>
          <w:szCs w:val="22"/>
          <w:lang w:val="en-US"/>
        </w:rPr>
      </w:pPr>
      <w:r w:rsidRPr="00E201BF">
        <w:rPr>
          <w:rFonts w:ascii="Helvetica Neue" w:hAnsi="Helvetica Neue" w:cs="Helvetica"/>
          <w:b/>
          <w:sz w:val="22"/>
          <w:szCs w:val="22"/>
          <w:lang w:val="en-US"/>
        </w:rPr>
        <w:t xml:space="preserve">What speech </w:t>
      </w:r>
      <w:proofErr w:type="gramStart"/>
      <w:r w:rsidRPr="00E201BF">
        <w:rPr>
          <w:rFonts w:ascii="Helvetica Neue" w:hAnsi="Helvetica Neue" w:cs="Helvetica"/>
          <w:b/>
          <w:sz w:val="22"/>
          <w:szCs w:val="22"/>
          <w:lang w:val="en-US"/>
        </w:rPr>
        <w:t>is captured by the RDA</w:t>
      </w:r>
      <w:proofErr w:type="gramEnd"/>
      <w:r w:rsidRPr="00E201BF">
        <w:rPr>
          <w:rFonts w:ascii="Helvetica Neue" w:hAnsi="Helvetica Neue" w:cs="Helvetica"/>
          <w:b/>
          <w:sz w:val="22"/>
          <w:szCs w:val="22"/>
          <w:lang w:val="en-US"/>
        </w:rPr>
        <w:t>?</w:t>
      </w:r>
    </w:p>
    <w:p w14:paraId="71B05CDD" w14:textId="77777777" w:rsidR="00E201BF" w:rsidRDefault="00E201BF" w:rsidP="00ED7808">
      <w:pPr>
        <w:keepNext/>
        <w:jc w:val="both"/>
        <w:rPr>
          <w:rFonts w:ascii="Helvetica Neue" w:hAnsi="Helvetica Neue" w:cs="Helvetica"/>
          <w:sz w:val="22"/>
          <w:szCs w:val="22"/>
          <w:lang w:val="en-US"/>
        </w:rPr>
      </w:pPr>
    </w:p>
    <w:p w14:paraId="15E7913C" w14:textId="77777777" w:rsidR="00E01C13" w:rsidRDefault="006E43DD"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In contrast</w:t>
      </w:r>
      <w:r w:rsidR="007877AB" w:rsidRPr="005170C9">
        <w:rPr>
          <w:rFonts w:ascii="Helvetica Neue" w:hAnsi="Helvetica Neue" w:cs="Helvetica"/>
          <w:sz w:val="22"/>
          <w:szCs w:val="22"/>
          <w:lang w:val="en-US"/>
        </w:rPr>
        <w:t xml:space="preserve">, the </w:t>
      </w:r>
      <w:r w:rsidR="00CE71EA" w:rsidRPr="005170C9">
        <w:rPr>
          <w:rFonts w:ascii="Helvetica Neue" w:hAnsi="Helvetica Neue" w:cs="Helvetica"/>
          <w:sz w:val="22"/>
          <w:szCs w:val="22"/>
          <w:lang w:val="en-US"/>
        </w:rPr>
        <w:t xml:space="preserve">speech </w:t>
      </w:r>
      <w:r w:rsidR="007877AB" w:rsidRPr="005170C9">
        <w:rPr>
          <w:rFonts w:ascii="Helvetica Neue" w:hAnsi="Helvetica Neue" w:cs="Helvetica"/>
          <w:sz w:val="22"/>
          <w:szCs w:val="22"/>
          <w:lang w:val="en-US"/>
        </w:rPr>
        <w:t xml:space="preserve">restrictions in the </w:t>
      </w:r>
      <w:r w:rsidR="000D1322">
        <w:rPr>
          <w:rFonts w:ascii="Helvetica Neue" w:hAnsi="Helvetica Neue" w:cs="Helvetica"/>
          <w:sz w:val="22"/>
          <w:szCs w:val="22"/>
          <w:lang w:val="en-US"/>
        </w:rPr>
        <w:t>RDA</w:t>
      </w:r>
      <w:r w:rsidR="007877AB" w:rsidRPr="005170C9">
        <w:rPr>
          <w:rFonts w:ascii="Helvetica Neue" w:hAnsi="Helvetica Neue" w:cs="Helvetica"/>
          <w:sz w:val="22"/>
          <w:szCs w:val="22"/>
          <w:lang w:val="en-US"/>
        </w:rPr>
        <w:t xml:space="preserve"> </w:t>
      </w:r>
      <w:r w:rsidR="00443418" w:rsidRPr="005170C9">
        <w:rPr>
          <w:rFonts w:ascii="Helvetica Neue" w:hAnsi="Helvetica Neue" w:cs="Helvetica"/>
          <w:sz w:val="22"/>
          <w:szCs w:val="22"/>
          <w:lang w:val="en-US"/>
        </w:rPr>
        <w:t>relate to a very narrow band of public speech</w:t>
      </w:r>
      <w:r w:rsidR="00E01C13">
        <w:rPr>
          <w:rFonts w:ascii="Helvetica Neue" w:hAnsi="Helvetica Neue" w:cs="Helvetica"/>
          <w:sz w:val="22"/>
          <w:szCs w:val="22"/>
          <w:lang w:val="en-US"/>
        </w:rPr>
        <w:t xml:space="preserve">.  The restrictions in the RDA itself have been qualified </w:t>
      </w:r>
      <w:r w:rsidR="009E0291">
        <w:rPr>
          <w:rFonts w:ascii="Helvetica Neue" w:hAnsi="Helvetica Neue" w:cs="Helvetica"/>
          <w:sz w:val="22"/>
          <w:szCs w:val="22"/>
          <w:lang w:val="en-US"/>
        </w:rPr>
        <w:t xml:space="preserve">even further </w:t>
      </w:r>
      <w:r w:rsidR="00E01C13">
        <w:rPr>
          <w:rFonts w:ascii="Helvetica Neue" w:hAnsi="Helvetica Neue" w:cs="Helvetica"/>
          <w:sz w:val="22"/>
          <w:szCs w:val="22"/>
          <w:lang w:val="en-US"/>
        </w:rPr>
        <w:t>by relevant court decisions</w:t>
      </w:r>
      <w:r w:rsidR="00443831" w:rsidRPr="005170C9">
        <w:rPr>
          <w:rFonts w:ascii="Helvetica Neue" w:hAnsi="Helvetica Neue" w:cs="Helvetica"/>
          <w:sz w:val="22"/>
          <w:szCs w:val="22"/>
          <w:lang w:val="en-US"/>
        </w:rPr>
        <w:t xml:space="preserve">. </w:t>
      </w:r>
      <w:r w:rsidR="003915F1" w:rsidRPr="005170C9">
        <w:rPr>
          <w:rFonts w:ascii="Helvetica Neue" w:hAnsi="Helvetica Neue" w:cs="Helvetica"/>
          <w:sz w:val="22"/>
          <w:szCs w:val="22"/>
          <w:lang w:val="en-US"/>
        </w:rPr>
        <w:t xml:space="preserve"> </w:t>
      </w:r>
    </w:p>
    <w:p w14:paraId="6FBB6384" w14:textId="77777777" w:rsidR="00E01C13" w:rsidRDefault="00E01C13" w:rsidP="00ED7808">
      <w:pPr>
        <w:jc w:val="both"/>
        <w:rPr>
          <w:rFonts w:ascii="Helvetica Neue" w:hAnsi="Helvetica Neue" w:cs="Helvetica"/>
          <w:sz w:val="22"/>
          <w:szCs w:val="22"/>
          <w:lang w:val="en-US"/>
        </w:rPr>
      </w:pPr>
    </w:p>
    <w:p w14:paraId="02E5AC0E" w14:textId="77777777" w:rsidR="00B75797" w:rsidRPr="009E0291" w:rsidRDefault="003915F1" w:rsidP="00D77554">
      <w:pPr>
        <w:spacing w:after="120"/>
        <w:jc w:val="both"/>
        <w:rPr>
          <w:rFonts w:ascii="Arial" w:hAnsi="Arial" w:cs="Arial"/>
          <w:sz w:val="22"/>
          <w:szCs w:val="22"/>
          <w:lang w:val="en-US"/>
        </w:rPr>
      </w:pPr>
      <w:r w:rsidRPr="009E0291">
        <w:rPr>
          <w:rFonts w:ascii="Arial" w:hAnsi="Arial" w:cs="Arial"/>
          <w:sz w:val="22"/>
          <w:szCs w:val="22"/>
          <w:lang w:val="en-US"/>
        </w:rPr>
        <w:t xml:space="preserve">To amount to </w:t>
      </w:r>
      <w:proofErr w:type="gramStart"/>
      <w:r w:rsidRPr="009E0291">
        <w:rPr>
          <w:rFonts w:ascii="Arial" w:hAnsi="Arial" w:cs="Arial"/>
          <w:sz w:val="22"/>
          <w:szCs w:val="22"/>
          <w:lang w:val="en-US"/>
        </w:rPr>
        <w:t>speech which</w:t>
      </w:r>
      <w:proofErr w:type="gramEnd"/>
      <w:r w:rsidRPr="009E0291">
        <w:rPr>
          <w:rFonts w:ascii="Arial" w:hAnsi="Arial" w:cs="Arial"/>
          <w:sz w:val="22"/>
          <w:szCs w:val="22"/>
          <w:lang w:val="en-US"/>
        </w:rPr>
        <w:t xml:space="preserve"> is captured by the RDA, </w:t>
      </w:r>
      <w:r w:rsidR="0077611C" w:rsidRPr="009E0291">
        <w:rPr>
          <w:rFonts w:ascii="Arial" w:hAnsi="Arial" w:cs="Arial"/>
          <w:sz w:val="22"/>
          <w:szCs w:val="22"/>
          <w:lang w:val="en-US"/>
        </w:rPr>
        <w:t xml:space="preserve">Australian courts have held that </w:t>
      </w:r>
      <w:r w:rsidRPr="009E0291">
        <w:rPr>
          <w:rFonts w:ascii="Arial" w:hAnsi="Arial" w:cs="Arial"/>
          <w:sz w:val="22"/>
          <w:szCs w:val="22"/>
          <w:lang w:val="en-US"/>
        </w:rPr>
        <w:t xml:space="preserve">the speech </w:t>
      </w:r>
      <w:r w:rsidR="00B75797" w:rsidRPr="009E0291">
        <w:rPr>
          <w:rFonts w:ascii="Arial" w:hAnsi="Arial" w:cs="Arial"/>
          <w:sz w:val="22"/>
          <w:szCs w:val="22"/>
          <w:lang w:val="en-US"/>
        </w:rPr>
        <w:t>(which includes the communication of words, sounds, images or writing)</w:t>
      </w:r>
      <w:r w:rsidR="0077611C" w:rsidRPr="009E0291">
        <w:rPr>
          <w:rFonts w:ascii="Arial" w:hAnsi="Arial" w:cs="Arial"/>
          <w:sz w:val="22"/>
          <w:szCs w:val="22"/>
          <w:lang w:val="en-US"/>
        </w:rPr>
        <w:t xml:space="preserve"> meet</w:t>
      </w:r>
      <w:r w:rsidRPr="009E0291">
        <w:rPr>
          <w:rFonts w:ascii="Arial" w:hAnsi="Arial" w:cs="Arial"/>
          <w:sz w:val="22"/>
          <w:szCs w:val="22"/>
          <w:lang w:val="en-US"/>
        </w:rPr>
        <w:t xml:space="preserve"> </w:t>
      </w:r>
      <w:r w:rsidR="00B75797" w:rsidRPr="009E0291">
        <w:rPr>
          <w:rFonts w:ascii="Arial" w:hAnsi="Arial" w:cs="Arial"/>
          <w:sz w:val="22"/>
          <w:szCs w:val="22"/>
          <w:lang w:val="en-US"/>
        </w:rPr>
        <w:t>ALL</w:t>
      </w:r>
      <w:r w:rsidRPr="009E0291">
        <w:rPr>
          <w:rFonts w:ascii="Arial" w:hAnsi="Arial" w:cs="Arial"/>
          <w:sz w:val="22"/>
          <w:szCs w:val="22"/>
          <w:lang w:val="en-US"/>
        </w:rPr>
        <w:t xml:space="preserve"> of the follow</w:t>
      </w:r>
      <w:r w:rsidR="00BD00E6" w:rsidRPr="009E0291">
        <w:rPr>
          <w:rFonts w:ascii="Arial" w:hAnsi="Arial" w:cs="Arial"/>
          <w:sz w:val="22"/>
          <w:szCs w:val="22"/>
          <w:lang w:val="en-US"/>
        </w:rPr>
        <w:t>ing</w:t>
      </w:r>
      <w:r w:rsidR="0077611C" w:rsidRPr="009E0291">
        <w:rPr>
          <w:rFonts w:ascii="Arial" w:hAnsi="Arial" w:cs="Arial"/>
          <w:sz w:val="22"/>
          <w:szCs w:val="22"/>
          <w:lang w:val="en-US"/>
        </w:rPr>
        <w:t xml:space="preserve"> requirements.  It must be</w:t>
      </w:r>
      <w:r w:rsidRPr="009E0291">
        <w:rPr>
          <w:rFonts w:ascii="Arial" w:hAnsi="Arial" w:cs="Arial"/>
          <w:sz w:val="22"/>
          <w:szCs w:val="22"/>
          <w:lang w:val="en-US"/>
        </w:rPr>
        <w:t xml:space="preserve">: </w:t>
      </w:r>
    </w:p>
    <w:p w14:paraId="4006342E" w14:textId="77777777" w:rsidR="00443831" w:rsidRPr="009E0291" w:rsidRDefault="00B75797" w:rsidP="00D77554">
      <w:pPr>
        <w:pStyle w:val="ListParagraph"/>
        <w:numPr>
          <w:ilvl w:val="0"/>
          <w:numId w:val="5"/>
        </w:numPr>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made</w:t>
      </w:r>
      <w:proofErr w:type="gramEnd"/>
      <w:r w:rsidRPr="009E0291">
        <w:rPr>
          <w:rFonts w:ascii="Arial" w:hAnsi="Arial" w:cs="Arial"/>
          <w:sz w:val="22"/>
          <w:szCs w:val="22"/>
          <w:lang w:val="en-US"/>
        </w:rPr>
        <w:t xml:space="preserve"> in public</w:t>
      </w:r>
    </w:p>
    <w:p w14:paraId="490CB12A" w14:textId="77777777" w:rsidR="006F7393" w:rsidRPr="009E0291" w:rsidRDefault="00A51554" w:rsidP="00D77554">
      <w:pPr>
        <w:pStyle w:val="ListParagraph"/>
        <w:numPr>
          <w:ilvl w:val="0"/>
          <w:numId w:val="5"/>
        </w:numPr>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reasonably</w:t>
      </w:r>
      <w:proofErr w:type="gramEnd"/>
      <w:r w:rsidRPr="009E0291">
        <w:rPr>
          <w:rFonts w:ascii="Arial" w:hAnsi="Arial" w:cs="Arial"/>
          <w:sz w:val="22"/>
          <w:szCs w:val="22"/>
          <w:lang w:val="en-US"/>
        </w:rPr>
        <w:t xml:space="preserve"> likely, in all the circumstances</w:t>
      </w:r>
      <w:r w:rsidR="00687FA2" w:rsidRPr="009E0291">
        <w:rPr>
          <w:rFonts w:ascii="Arial" w:hAnsi="Arial" w:cs="Arial"/>
          <w:sz w:val="22"/>
          <w:szCs w:val="22"/>
          <w:lang w:val="en-US"/>
        </w:rPr>
        <w:t xml:space="preserve"> and on the balance of probabilities (when tested objectively </w:t>
      </w:r>
      <w:r w:rsidR="00687FA2" w:rsidRPr="009E0291">
        <w:rPr>
          <w:rFonts w:ascii="Arial" w:hAnsi="Arial" w:cs="Arial"/>
          <w:sz w:val="22"/>
          <w:szCs w:val="22"/>
        </w:rPr>
        <w:t xml:space="preserve">by the likely </w:t>
      </w:r>
      <w:r w:rsidR="00687FA2" w:rsidRPr="00921A46">
        <w:rPr>
          <w:rFonts w:ascii="Arial" w:hAnsi="Arial" w:cs="Arial"/>
          <w:iCs/>
          <w:sz w:val="22"/>
          <w:szCs w:val="22"/>
        </w:rPr>
        <w:t>effect</w:t>
      </w:r>
      <w:r w:rsidR="00687FA2" w:rsidRPr="00921A46">
        <w:rPr>
          <w:rFonts w:ascii="Arial" w:hAnsi="Arial" w:cs="Arial"/>
          <w:sz w:val="22"/>
          <w:szCs w:val="22"/>
        </w:rPr>
        <w:t xml:space="preserve"> </w:t>
      </w:r>
      <w:r w:rsidR="00687FA2" w:rsidRPr="009E0291">
        <w:rPr>
          <w:rFonts w:ascii="Arial" w:hAnsi="Arial" w:cs="Arial"/>
          <w:sz w:val="22"/>
          <w:szCs w:val="22"/>
        </w:rPr>
        <w:t>on another person having the characteristics of the complainant’s group)</w:t>
      </w:r>
      <w:r w:rsidRPr="009E0291">
        <w:rPr>
          <w:rFonts w:ascii="Arial" w:hAnsi="Arial" w:cs="Arial"/>
          <w:sz w:val="22"/>
          <w:szCs w:val="22"/>
          <w:lang w:val="en-US"/>
        </w:rPr>
        <w:t xml:space="preserve">, to “offend, insult, humiliate or intimidate” another </w:t>
      </w:r>
      <w:r w:rsidRPr="009E0291">
        <w:rPr>
          <w:rFonts w:ascii="Arial" w:hAnsi="Arial" w:cs="Arial"/>
          <w:sz w:val="22"/>
          <w:szCs w:val="22"/>
          <w:u w:color="0000E9"/>
          <w:lang w:val="en-US"/>
        </w:rPr>
        <w:t>person</w:t>
      </w:r>
      <w:r w:rsidRPr="009E0291">
        <w:rPr>
          <w:rFonts w:ascii="Arial" w:hAnsi="Arial" w:cs="Arial"/>
          <w:sz w:val="22"/>
          <w:szCs w:val="22"/>
          <w:lang w:val="en-US"/>
        </w:rPr>
        <w:t xml:space="preserve"> </w:t>
      </w:r>
      <w:hyperlink r:id="rId9" w:anchor="person" w:history="1"/>
      <w:r w:rsidRPr="009E0291">
        <w:rPr>
          <w:rFonts w:ascii="Arial" w:hAnsi="Arial" w:cs="Arial"/>
          <w:sz w:val="22"/>
          <w:szCs w:val="22"/>
          <w:lang w:val="en-US"/>
        </w:rPr>
        <w:t>or a group of people</w:t>
      </w:r>
      <w:r w:rsidR="00687FA2" w:rsidRPr="009E0291">
        <w:rPr>
          <w:rFonts w:ascii="Arial" w:hAnsi="Arial" w:cs="Arial"/>
          <w:sz w:val="22"/>
          <w:szCs w:val="22"/>
          <w:lang w:val="en-US"/>
        </w:rPr>
        <w:t xml:space="preserve"> (</w:t>
      </w:r>
      <w:r w:rsidR="00FA7281">
        <w:rPr>
          <w:rFonts w:ascii="Arial" w:hAnsi="Arial" w:cs="Arial"/>
          <w:sz w:val="22"/>
          <w:szCs w:val="22"/>
          <w:lang w:val="en-US"/>
        </w:rPr>
        <w:t xml:space="preserve">the words in inverted commas are considered collectively and </w:t>
      </w:r>
      <w:r w:rsidR="00FA7281">
        <w:rPr>
          <w:rFonts w:ascii="Arial" w:hAnsi="Arial" w:cs="Arial"/>
          <w:sz w:val="22"/>
          <w:szCs w:val="22"/>
          <w:lang w:val="en-US"/>
        </w:rPr>
        <w:lastRenderedPageBreak/>
        <w:t>interpreted to mean that the speech must have</w:t>
      </w:r>
      <w:r w:rsidR="00687FA2" w:rsidRPr="009E0291">
        <w:rPr>
          <w:rFonts w:ascii="Arial" w:hAnsi="Arial" w:cs="Arial"/>
          <w:sz w:val="22"/>
          <w:szCs w:val="22"/>
          <w:lang w:val="en-US"/>
        </w:rPr>
        <w:t xml:space="preserve"> </w:t>
      </w:r>
      <w:r w:rsidR="006F7393" w:rsidRPr="009E0291">
        <w:rPr>
          <w:rFonts w:ascii="Arial" w:hAnsi="Arial" w:cs="Arial"/>
          <w:sz w:val="22"/>
          <w:szCs w:val="22"/>
        </w:rPr>
        <w:t>‘profound and serious effects, not to be likened to mere slights’)</w:t>
      </w:r>
    </w:p>
    <w:p w14:paraId="06F56AAF" w14:textId="77777777" w:rsidR="00A51554" w:rsidRPr="009E0291" w:rsidRDefault="00A51554" w:rsidP="00D77554">
      <w:pPr>
        <w:pStyle w:val="ListParagraph"/>
        <w:widowControl w:val="0"/>
        <w:numPr>
          <w:ilvl w:val="0"/>
          <w:numId w:val="5"/>
        </w:numPr>
        <w:autoSpaceDE w:val="0"/>
        <w:autoSpaceDN w:val="0"/>
        <w:adjustRightInd w:val="0"/>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done</w:t>
      </w:r>
      <w:proofErr w:type="gramEnd"/>
      <w:r w:rsidRPr="009E0291">
        <w:rPr>
          <w:rFonts w:ascii="Arial" w:hAnsi="Arial" w:cs="Arial"/>
          <w:sz w:val="22"/>
          <w:szCs w:val="22"/>
          <w:lang w:val="en-US"/>
        </w:rPr>
        <w:t xml:space="preserve"> because of the race, </w:t>
      </w:r>
      <w:proofErr w:type="spellStart"/>
      <w:r w:rsidRPr="009E0291">
        <w:rPr>
          <w:rFonts w:ascii="Arial" w:hAnsi="Arial" w:cs="Arial"/>
          <w:sz w:val="22"/>
          <w:szCs w:val="22"/>
          <w:lang w:val="en-US"/>
        </w:rPr>
        <w:t>colour</w:t>
      </w:r>
      <w:proofErr w:type="spellEnd"/>
      <w:r w:rsidRPr="009E0291">
        <w:rPr>
          <w:rFonts w:ascii="Arial" w:hAnsi="Arial" w:cs="Arial"/>
          <w:sz w:val="22"/>
          <w:szCs w:val="22"/>
          <w:lang w:val="en-US"/>
        </w:rPr>
        <w:t xml:space="preserve"> or national or ethnic origin of the </w:t>
      </w:r>
      <w:r w:rsidR="00201873">
        <w:rPr>
          <w:rFonts w:ascii="Arial" w:hAnsi="Arial" w:cs="Arial"/>
          <w:sz w:val="22"/>
          <w:szCs w:val="22"/>
          <w:lang w:val="en-US"/>
        </w:rPr>
        <w:t xml:space="preserve">target </w:t>
      </w:r>
      <w:r w:rsidRPr="009E0291">
        <w:rPr>
          <w:rFonts w:ascii="Arial" w:hAnsi="Arial" w:cs="Arial"/>
          <w:sz w:val="22"/>
          <w:szCs w:val="22"/>
          <w:lang w:val="en-US"/>
        </w:rPr>
        <w:t xml:space="preserve">person or of some or all of the people in the </w:t>
      </w:r>
      <w:r w:rsidR="00201873">
        <w:rPr>
          <w:rFonts w:ascii="Arial" w:hAnsi="Arial" w:cs="Arial"/>
          <w:sz w:val="22"/>
          <w:szCs w:val="22"/>
          <w:lang w:val="en-US"/>
        </w:rPr>
        <w:t xml:space="preserve">target </w:t>
      </w:r>
      <w:r w:rsidRPr="009E0291">
        <w:rPr>
          <w:rFonts w:ascii="Arial" w:hAnsi="Arial" w:cs="Arial"/>
          <w:sz w:val="22"/>
          <w:szCs w:val="22"/>
          <w:lang w:val="en-US"/>
        </w:rPr>
        <w:t>group (whether or not that is the dominant reason: s</w:t>
      </w:r>
      <w:r w:rsidR="00062428" w:rsidRPr="009E0291">
        <w:rPr>
          <w:rFonts w:ascii="Arial" w:hAnsi="Arial" w:cs="Arial"/>
          <w:sz w:val="22"/>
          <w:szCs w:val="22"/>
          <w:lang w:val="en-US"/>
        </w:rPr>
        <w:t xml:space="preserve">ection </w:t>
      </w:r>
      <w:r w:rsidRPr="009E0291">
        <w:rPr>
          <w:rFonts w:ascii="Arial" w:hAnsi="Arial" w:cs="Arial"/>
          <w:sz w:val="22"/>
          <w:szCs w:val="22"/>
          <w:lang w:val="en-US"/>
        </w:rPr>
        <w:t>18B);</w:t>
      </w:r>
    </w:p>
    <w:p w14:paraId="100A678F" w14:textId="77777777" w:rsidR="00A51554" w:rsidRPr="009E0291" w:rsidRDefault="00A51554" w:rsidP="00D77554">
      <w:pPr>
        <w:pStyle w:val="ListParagraph"/>
        <w:widowControl w:val="0"/>
        <w:numPr>
          <w:ilvl w:val="0"/>
          <w:numId w:val="5"/>
        </w:numPr>
        <w:autoSpaceDE w:val="0"/>
        <w:autoSpaceDN w:val="0"/>
        <w:adjustRightInd w:val="0"/>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not</w:t>
      </w:r>
      <w:proofErr w:type="gramEnd"/>
      <w:r w:rsidRPr="009E0291">
        <w:rPr>
          <w:rFonts w:ascii="Arial" w:hAnsi="Arial" w:cs="Arial"/>
          <w:sz w:val="22"/>
          <w:szCs w:val="22"/>
          <w:lang w:val="en-US"/>
        </w:rPr>
        <w:t xml:space="preserve"> done reasonably </w:t>
      </w:r>
      <w:r w:rsidR="00FF52A0">
        <w:rPr>
          <w:rFonts w:ascii="Arial" w:hAnsi="Arial" w:cs="Arial"/>
          <w:sz w:val="22"/>
          <w:szCs w:val="22"/>
          <w:lang w:val="en-US"/>
        </w:rPr>
        <w:t>(</w:t>
      </w:r>
      <w:r w:rsidR="007731DD">
        <w:rPr>
          <w:rFonts w:ascii="Arial" w:hAnsi="Arial" w:cs="Arial"/>
          <w:sz w:val="22"/>
          <w:szCs w:val="22"/>
          <w:lang w:val="en-US"/>
        </w:rPr>
        <w:t xml:space="preserve">in this and the following items, </w:t>
      </w:r>
      <w:r w:rsidR="00AA231F">
        <w:rPr>
          <w:rFonts w:ascii="Arial" w:hAnsi="Arial" w:cs="Arial"/>
          <w:sz w:val="22"/>
          <w:szCs w:val="22"/>
          <w:lang w:val="en-US"/>
        </w:rPr>
        <w:t xml:space="preserve">being </w:t>
      </w:r>
      <w:r w:rsidR="00FF52A0">
        <w:rPr>
          <w:rFonts w:ascii="Arial" w:hAnsi="Arial" w:cs="Arial"/>
          <w:sz w:val="22"/>
          <w:szCs w:val="22"/>
          <w:lang w:val="en-US"/>
        </w:rPr>
        <w:t>an</w:t>
      </w:r>
      <w:r w:rsidR="00E01C13" w:rsidRPr="009E0291">
        <w:rPr>
          <w:rFonts w:ascii="Arial" w:hAnsi="Arial" w:cs="Arial"/>
          <w:sz w:val="22"/>
          <w:szCs w:val="22"/>
          <w:lang w:val="en-US"/>
        </w:rPr>
        <w:t xml:space="preserve"> objective test) </w:t>
      </w:r>
      <w:r w:rsidRPr="009E0291">
        <w:rPr>
          <w:rFonts w:ascii="Arial" w:hAnsi="Arial" w:cs="Arial"/>
          <w:sz w:val="22"/>
          <w:szCs w:val="22"/>
          <w:lang w:val="en-US"/>
        </w:rPr>
        <w:t>and in good faith</w:t>
      </w:r>
      <w:r w:rsidR="00E01C13" w:rsidRPr="009E0291">
        <w:rPr>
          <w:rFonts w:ascii="Arial" w:hAnsi="Arial" w:cs="Arial"/>
          <w:sz w:val="22"/>
          <w:szCs w:val="22"/>
          <w:lang w:val="en-US"/>
        </w:rPr>
        <w:t xml:space="preserve"> (</w:t>
      </w:r>
      <w:r w:rsidR="007731DD">
        <w:rPr>
          <w:rFonts w:ascii="Arial" w:hAnsi="Arial" w:cs="Arial"/>
          <w:sz w:val="22"/>
          <w:szCs w:val="22"/>
          <w:lang w:val="en-US"/>
        </w:rPr>
        <w:t xml:space="preserve">in this and the following items, </w:t>
      </w:r>
      <w:r w:rsidR="00AA231F">
        <w:rPr>
          <w:rFonts w:ascii="Arial" w:hAnsi="Arial" w:cs="Arial"/>
          <w:sz w:val="22"/>
          <w:szCs w:val="22"/>
          <w:lang w:val="en-US"/>
        </w:rPr>
        <w:t xml:space="preserve">being </w:t>
      </w:r>
      <w:r w:rsidR="00530F97">
        <w:rPr>
          <w:rFonts w:ascii="Arial" w:hAnsi="Arial" w:cs="Arial"/>
          <w:sz w:val="22"/>
          <w:szCs w:val="22"/>
          <w:lang w:val="en-US"/>
        </w:rPr>
        <w:t xml:space="preserve">both an objective test and </w:t>
      </w:r>
      <w:r w:rsidR="00E01C13" w:rsidRPr="009E0291">
        <w:rPr>
          <w:rFonts w:ascii="Arial" w:hAnsi="Arial" w:cs="Arial"/>
          <w:sz w:val="22"/>
          <w:szCs w:val="22"/>
          <w:lang w:val="en-US"/>
        </w:rPr>
        <w:t>a subjective test requiring that the person acted more than negligently; courts have required something more akin to ‘</w:t>
      </w:r>
      <w:r w:rsidR="00E01C13" w:rsidRPr="009E0291">
        <w:rPr>
          <w:rFonts w:ascii="Arial" w:hAnsi="Arial" w:cs="Arial"/>
          <w:sz w:val="22"/>
          <w:szCs w:val="22"/>
        </w:rPr>
        <w:t>culpable recklessness’ or ‘callous indifference’</w:t>
      </w:r>
      <w:r w:rsidR="00E01C13" w:rsidRPr="009E0291">
        <w:rPr>
          <w:rFonts w:ascii="Arial" w:hAnsi="Arial" w:cs="Arial"/>
          <w:sz w:val="22"/>
          <w:szCs w:val="22"/>
          <w:lang w:val="en-US"/>
        </w:rPr>
        <w:t>)</w:t>
      </w:r>
      <w:r w:rsidRPr="009E0291">
        <w:rPr>
          <w:rFonts w:ascii="Arial" w:hAnsi="Arial" w:cs="Arial"/>
          <w:sz w:val="22"/>
          <w:szCs w:val="22"/>
          <w:lang w:val="en-US"/>
        </w:rPr>
        <w:t xml:space="preserve"> in the performance, exhibition or distribution of an artistic work; </w:t>
      </w:r>
    </w:p>
    <w:p w14:paraId="7A33A453" w14:textId="77777777" w:rsidR="00A51554" w:rsidRPr="009E0291" w:rsidRDefault="00A51554" w:rsidP="00D77554">
      <w:pPr>
        <w:pStyle w:val="ListParagraph"/>
        <w:widowControl w:val="0"/>
        <w:numPr>
          <w:ilvl w:val="0"/>
          <w:numId w:val="5"/>
        </w:numPr>
        <w:autoSpaceDE w:val="0"/>
        <w:autoSpaceDN w:val="0"/>
        <w:adjustRightInd w:val="0"/>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not</w:t>
      </w:r>
      <w:proofErr w:type="gramEnd"/>
      <w:r w:rsidRPr="009E0291">
        <w:rPr>
          <w:rFonts w:ascii="Arial" w:hAnsi="Arial" w:cs="Arial"/>
          <w:sz w:val="22"/>
          <w:szCs w:val="22"/>
          <w:lang w:val="en-US"/>
        </w:rPr>
        <w:t xml:space="preserve"> done reasonably and in good faith in the course of any statement, publication, discussion or debate made or held for any genuine academic, artistic or scientific purpose or any other genuine pu</w:t>
      </w:r>
      <w:r w:rsidR="00062428" w:rsidRPr="009E0291">
        <w:rPr>
          <w:rFonts w:ascii="Arial" w:hAnsi="Arial" w:cs="Arial"/>
          <w:sz w:val="22"/>
          <w:szCs w:val="22"/>
          <w:lang w:val="en-US"/>
        </w:rPr>
        <w:t xml:space="preserve">rpose in the public interest; </w:t>
      </w:r>
    </w:p>
    <w:p w14:paraId="2A33FA04" w14:textId="77777777" w:rsidR="00A51554" w:rsidRPr="009E0291" w:rsidRDefault="00A51554" w:rsidP="00D77554">
      <w:pPr>
        <w:pStyle w:val="ListParagraph"/>
        <w:widowControl w:val="0"/>
        <w:numPr>
          <w:ilvl w:val="0"/>
          <w:numId w:val="5"/>
        </w:numPr>
        <w:autoSpaceDE w:val="0"/>
        <w:autoSpaceDN w:val="0"/>
        <w:adjustRightInd w:val="0"/>
        <w:spacing w:after="120"/>
        <w:ind w:left="426"/>
        <w:contextualSpacing w:val="0"/>
        <w:jc w:val="both"/>
        <w:rPr>
          <w:rFonts w:ascii="Arial" w:hAnsi="Arial" w:cs="Arial"/>
          <w:sz w:val="22"/>
          <w:szCs w:val="22"/>
          <w:lang w:val="en-US"/>
        </w:rPr>
      </w:pPr>
      <w:proofErr w:type="gramStart"/>
      <w:r w:rsidRPr="009E0291">
        <w:rPr>
          <w:rFonts w:ascii="Arial" w:hAnsi="Arial" w:cs="Arial"/>
          <w:sz w:val="22"/>
          <w:szCs w:val="22"/>
          <w:lang w:val="en-US"/>
        </w:rPr>
        <w:t>not</w:t>
      </w:r>
      <w:proofErr w:type="gramEnd"/>
      <w:r w:rsidRPr="009E0291">
        <w:rPr>
          <w:rFonts w:ascii="Arial" w:hAnsi="Arial" w:cs="Arial"/>
          <w:sz w:val="22"/>
          <w:szCs w:val="22"/>
          <w:lang w:val="en-US"/>
        </w:rPr>
        <w:t xml:space="preserve"> done reasonably and in good faith in making or publishing a fair and accurate report of any event or matter of public interest; </w:t>
      </w:r>
      <w:r w:rsidR="00062428" w:rsidRPr="009E0291">
        <w:rPr>
          <w:rFonts w:ascii="Arial" w:hAnsi="Arial" w:cs="Arial"/>
          <w:sz w:val="22"/>
          <w:szCs w:val="22"/>
          <w:lang w:val="en-US"/>
        </w:rPr>
        <w:t>and</w:t>
      </w:r>
    </w:p>
    <w:p w14:paraId="270B3AA7" w14:textId="77777777" w:rsidR="00A51554" w:rsidRPr="009E0291" w:rsidRDefault="00A51554" w:rsidP="00D77554">
      <w:pPr>
        <w:pStyle w:val="ListParagraph"/>
        <w:numPr>
          <w:ilvl w:val="0"/>
          <w:numId w:val="5"/>
        </w:numPr>
        <w:spacing w:after="120"/>
        <w:ind w:left="426"/>
        <w:contextualSpacing w:val="0"/>
        <w:jc w:val="both"/>
        <w:rPr>
          <w:rFonts w:ascii="Arial" w:hAnsi="Arial" w:cs="Arial"/>
          <w:sz w:val="22"/>
          <w:szCs w:val="22"/>
        </w:rPr>
      </w:pPr>
      <w:proofErr w:type="gramStart"/>
      <w:r w:rsidRPr="009E0291">
        <w:rPr>
          <w:rFonts w:ascii="Arial" w:hAnsi="Arial" w:cs="Arial"/>
          <w:sz w:val="22"/>
          <w:szCs w:val="22"/>
          <w:lang w:val="en-US"/>
        </w:rPr>
        <w:t>not</w:t>
      </w:r>
      <w:proofErr w:type="gramEnd"/>
      <w:r w:rsidRPr="009E0291">
        <w:rPr>
          <w:rFonts w:ascii="Arial" w:hAnsi="Arial" w:cs="Arial"/>
          <w:sz w:val="22"/>
          <w:szCs w:val="22"/>
          <w:lang w:val="en-US"/>
        </w:rPr>
        <w:t xml:space="preserve"> done reasonably and in good faith in making or publishing a fair comment on any event or matter of public interest (so long as the comment is an expression of a genuine belief held by the </w:t>
      </w:r>
      <w:r w:rsidRPr="009E0291">
        <w:rPr>
          <w:rFonts w:ascii="Arial" w:hAnsi="Arial" w:cs="Arial"/>
          <w:sz w:val="22"/>
          <w:szCs w:val="22"/>
          <w:u w:color="0000E9"/>
          <w:lang w:val="en-US"/>
        </w:rPr>
        <w:t>person</w:t>
      </w:r>
      <w:r w:rsidRPr="009E0291">
        <w:rPr>
          <w:rFonts w:ascii="Arial" w:hAnsi="Arial" w:cs="Arial"/>
          <w:sz w:val="22"/>
          <w:szCs w:val="22"/>
          <w:lang w:val="en-US"/>
        </w:rPr>
        <w:t xml:space="preserve"> making the comment).</w:t>
      </w:r>
    </w:p>
    <w:p w14:paraId="74D5F248" w14:textId="77777777" w:rsidR="00443831" w:rsidRPr="009E0291" w:rsidRDefault="00443831" w:rsidP="00ED7808">
      <w:pPr>
        <w:jc w:val="both"/>
        <w:rPr>
          <w:rFonts w:ascii="Arial" w:hAnsi="Arial" w:cs="Arial"/>
          <w:sz w:val="22"/>
          <w:szCs w:val="22"/>
          <w:lang w:val="en-US"/>
        </w:rPr>
      </w:pPr>
    </w:p>
    <w:p w14:paraId="4EBC9749" w14:textId="77777777" w:rsidR="00BE3787" w:rsidRPr="00BE3787" w:rsidRDefault="00BE3787" w:rsidP="00ED7808">
      <w:pPr>
        <w:keepNext/>
        <w:jc w:val="both"/>
        <w:rPr>
          <w:rFonts w:ascii="Helvetica Neue" w:hAnsi="Helvetica Neue" w:cs="Helvetica"/>
          <w:b/>
          <w:sz w:val="22"/>
          <w:szCs w:val="22"/>
          <w:lang w:val="en-US"/>
        </w:rPr>
      </w:pPr>
      <w:r w:rsidRPr="00BE3787">
        <w:rPr>
          <w:rFonts w:ascii="Helvetica Neue" w:hAnsi="Helvetica Neue" w:cs="Helvetica"/>
          <w:b/>
          <w:sz w:val="22"/>
          <w:szCs w:val="22"/>
          <w:lang w:val="en-US"/>
        </w:rPr>
        <w:t>How is this type of speech regulated?</w:t>
      </w:r>
    </w:p>
    <w:p w14:paraId="3404B159" w14:textId="77777777" w:rsidR="00BE3787" w:rsidRDefault="00BE3787" w:rsidP="00ED7808">
      <w:pPr>
        <w:keepNext/>
        <w:jc w:val="both"/>
        <w:rPr>
          <w:rFonts w:ascii="Helvetica Neue" w:hAnsi="Helvetica Neue" w:cs="Helvetica"/>
          <w:sz w:val="22"/>
          <w:szCs w:val="22"/>
          <w:lang w:val="en-US"/>
        </w:rPr>
      </w:pPr>
    </w:p>
    <w:p w14:paraId="33147767" w14:textId="77777777" w:rsidR="00FB2F80" w:rsidRPr="005170C9" w:rsidRDefault="00062428"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Furthermore, under</w:t>
      </w:r>
      <w:r w:rsidR="00443831" w:rsidRPr="005170C9">
        <w:rPr>
          <w:rFonts w:ascii="Helvetica Neue" w:hAnsi="Helvetica Neue" w:cs="Helvetica"/>
          <w:sz w:val="22"/>
          <w:szCs w:val="22"/>
          <w:lang w:val="en-US"/>
        </w:rPr>
        <w:t xml:space="preserve"> the RDA, speech which falls within that very narrow range </w:t>
      </w:r>
      <w:r w:rsidR="004679DA">
        <w:rPr>
          <w:rFonts w:ascii="Helvetica Neue" w:hAnsi="Helvetica Neue" w:cs="Helvetica"/>
          <w:sz w:val="22"/>
          <w:szCs w:val="22"/>
          <w:lang w:val="en-US"/>
        </w:rPr>
        <w:t xml:space="preserve">by meeting every one of the above criteria </w:t>
      </w:r>
      <w:r w:rsidR="00443831" w:rsidRPr="005170C9">
        <w:rPr>
          <w:rFonts w:ascii="Helvetica Neue" w:hAnsi="Helvetica Neue" w:cs="Helvetica"/>
          <w:sz w:val="22"/>
          <w:szCs w:val="22"/>
          <w:lang w:val="en-US"/>
        </w:rPr>
        <w:t>is only</w:t>
      </w:r>
      <w:r w:rsidR="00A4543A" w:rsidRPr="005170C9">
        <w:rPr>
          <w:rFonts w:ascii="Helvetica Neue" w:hAnsi="Helvetica Neue" w:cs="Helvetica"/>
          <w:sz w:val="22"/>
          <w:szCs w:val="22"/>
          <w:lang w:val="en-US"/>
        </w:rPr>
        <w:t xml:space="preserve"> </w:t>
      </w:r>
      <w:r w:rsidR="00443831" w:rsidRPr="005170C9">
        <w:rPr>
          <w:rFonts w:ascii="Helvetica Neue" w:hAnsi="Helvetica Neue" w:cs="Helvetica"/>
          <w:sz w:val="22"/>
          <w:szCs w:val="22"/>
          <w:lang w:val="en-US"/>
        </w:rPr>
        <w:t>required to be dealt with by the Australian Human Rights Commission (the “Commission”) if it is the subject of a complaint.  If that occurs, the potential offence is</w:t>
      </w:r>
      <w:r w:rsidR="00A4543A" w:rsidRPr="005170C9">
        <w:rPr>
          <w:rFonts w:ascii="Helvetica Neue" w:hAnsi="Helvetica Neue" w:cs="Helvetica"/>
          <w:sz w:val="22"/>
          <w:szCs w:val="22"/>
          <w:lang w:val="en-US"/>
        </w:rPr>
        <w:t xml:space="preserve"> </w:t>
      </w:r>
      <w:r w:rsidR="005959C1" w:rsidRPr="005170C9">
        <w:rPr>
          <w:rFonts w:ascii="Helvetica Neue" w:hAnsi="Helvetica Neue" w:cs="Helvetica"/>
          <w:sz w:val="22"/>
          <w:szCs w:val="22"/>
          <w:lang w:val="en-US"/>
        </w:rPr>
        <w:t>required to be treated by</w:t>
      </w:r>
      <w:r w:rsidR="00A4543A" w:rsidRPr="005170C9">
        <w:rPr>
          <w:rFonts w:ascii="Helvetica Neue" w:hAnsi="Helvetica Neue" w:cs="Helvetica"/>
          <w:sz w:val="22"/>
          <w:szCs w:val="22"/>
          <w:lang w:val="en-US"/>
        </w:rPr>
        <w:t xml:space="preserve"> the softest type of regulation: conciliation</w:t>
      </w:r>
      <w:r w:rsidR="00443418" w:rsidRPr="005170C9">
        <w:rPr>
          <w:rFonts w:ascii="Helvetica Neue" w:hAnsi="Helvetica Neue" w:cs="Helvetica"/>
          <w:sz w:val="22"/>
          <w:szCs w:val="22"/>
          <w:lang w:val="en-US"/>
        </w:rPr>
        <w:t xml:space="preserve">.  </w:t>
      </w:r>
      <w:r w:rsidR="00791E91" w:rsidRPr="005170C9">
        <w:rPr>
          <w:rFonts w:ascii="Helvetica Neue" w:hAnsi="Helvetica Neue" w:cs="Helvetica"/>
          <w:sz w:val="22"/>
          <w:szCs w:val="22"/>
          <w:lang w:val="en-US"/>
        </w:rPr>
        <w:t xml:space="preserve">The conciliation is </w:t>
      </w:r>
      <w:r w:rsidR="004E3314" w:rsidRPr="005170C9">
        <w:rPr>
          <w:rFonts w:ascii="Helvetica Neue" w:hAnsi="Helvetica Neue" w:cs="Helvetica"/>
          <w:sz w:val="22"/>
          <w:szCs w:val="22"/>
          <w:lang w:val="en-US"/>
        </w:rPr>
        <w:t xml:space="preserve">carried out at no cost to the parties concerned.  </w:t>
      </w:r>
    </w:p>
    <w:p w14:paraId="33357C9E" w14:textId="77777777" w:rsidR="00FB2F80" w:rsidRPr="005170C9" w:rsidRDefault="00FB2F80" w:rsidP="00ED7808">
      <w:pPr>
        <w:jc w:val="both"/>
        <w:rPr>
          <w:rFonts w:ascii="Helvetica Neue" w:hAnsi="Helvetica Neue" w:cs="Helvetica"/>
          <w:sz w:val="22"/>
          <w:szCs w:val="22"/>
          <w:lang w:val="en-US"/>
        </w:rPr>
      </w:pPr>
    </w:p>
    <w:p w14:paraId="25FA76D7" w14:textId="77777777" w:rsidR="007E2E3B" w:rsidRPr="007E2E3B" w:rsidRDefault="007E2E3B" w:rsidP="00ED7808">
      <w:pPr>
        <w:keepNext/>
        <w:jc w:val="both"/>
        <w:rPr>
          <w:rFonts w:ascii="Helvetica Neue" w:hAnsi="Helvetica Neue" w:cs="Helvetica"/>
          <w:b/>
          <w:sz w:val="22"/>
          <w:szCs w:val="22"/>
          <w:lang w:val="en-US"/>
        </w:rPr>
      </w:pPr>
      <w:r w:rsidRPr="007E2E3B">
        <w:rPr>
          <w:rFonts w:ascii="Helvetica Neue" w:hAnsi="Helvetica Neue" w:cs="Helvetica"/>
          <w:b/>
          <w:sz w:val="22"/>
          <w:szCs w:val="22"/>
          <w:lang w:val="en-US"/>
        </w:rPr>
        <w:t>Is this an unreasonable process?</w:t>
      </w:r>
    </w:p>
    <w:p w14:paraId="14ADEDD9" w14:textId="77777777" w:rsidR="007E2E3B" w:rsidRDefault="007E2E3B" w:rsidP="00ED7808">
      <w:pPr>
        <w:keepNext/>
        <w:jc w:val="both"/>
        <w:rPr>
          <w:rFonts w:ascii="Helvetica Neue" w:hAnsi="Helvetica Neue" w:cs="Helvetica"/>
          <w:sz w:val="22"/>
          <w:szCs w:val="22"/>
          <w:lang w:val="en-US"/>
        </w:rPr>
      </w:pPr>
    </w:p>
    <w:p w14:paraId="6F8A6C34" w14:textId="77777777" w:rsidR="00A4543A" w:rsidRPr="005170C9" w:rsidRDefault="004E3314"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 xml:space="preserve">If one protests that ‘the process is the cost’ </w:t>
      </w:r>
      <w:r w:rsidR="00C22410" w:rsidRPr="005170C9">
        <w:rPr>
          <w:rFonts w:ascii="Helvetica Neue" w:hAnsi="Helvetica Neue" w:cs="Helvetica"/>
          <w:sz w:val="22"/>
          <w:szCs w:val="22"/>
          <w:lang w:val="en-US"/>
        </w:rPr>
        <w:t>and that Australia should have no legal or other process that is at all emotionally painful for participants</w:t>
      </w:r>
      <w:r w:rsidR="002B7169" w:rsidRPr="005170C9">
        <w:rPr>
          <w:rFonts w:ascii="Helvetica Neue" w:hAnsi="Helvetica Neue" w:cs="Helvetica"/>
          <w:sz w:val="22"/>
          <w:szCs w:val="22"/>
          <w:lang w:val="en-US"/>
        </w:rPr>
        <w:t>, or which might injure their reputation</w:t>
      </w:r>
      <w:r w:rsidR="00C22410" w:rsidRPr="005170C9">
        <w:rPr>
          <w:rFonts w:ascii="Helvetica Neue" w:hAnsi="Helvetica Neue" w:cs="Helvetica"/>
          <w:sz w:val="22"/>
          <w:szCs w:val="22"/>
          <w:lang w:val="en-US"/>
        </w:rPr>
        <w:t>, then conciliation under the RDA is a very poor example.  Many much stronger examples spring to mind in all areas of life in which the required process is enormously more painful in both emotional and monetary terms.</w:t>
      </w:r>
      <w:r w:rsidR="002B7169" w:rsidRPr="005170C9">
        <w:rPr>
          <w:rFonts w:ascii="Helvetica Neue" w:hAnsi="Helvetica Neue" w:cs="Helvetica"/>
          <w:sz w:val="22"/>
          <w:szCs w:val="22"/>
          <w:lang w:val="en-US"/>
        </w:rPr>
        <w:t xml:space="preserve">  One can only conclude that the protestors believe that </w:t>
      </w:r>
      <w:proofErr w:type="gramStart"/>
      <w:r w:rsidR="002B7169" w:rsidRPr="005170C9">
        <w:rPr>
          <w:rFonts w:ascii="Helvetica Neue" w:hAnsi="Helvetica Neue" w:cs="Helvetica"/>
          <w:sz w:val="22"/>
          <w:szCs w:val="22"/>
          <w:lang w:val="en-US"/>
        </w:rPr>
        <w:t xml:space="preserve">no impact at all should be experienced by those who </w:t>
      </w:r>
      <w:r w:rsidR="00CB0B77" w:rsidRPr="005170C9">
        <w:rPr>
          <w:rFonts w:ascii="Helvetica Neue" w:hAnsi="Helvetica Neue" w:cs="Helvetica"/>
          <w:sz w:val="22"/>
          <w:szCs w:val="22"/>
          <w:lang w:val="en-US"/>
        </w:rPr>
        <w:t>breach the RDA prohibitions on racist public speech</w:t>
      </w:r>
      <w:proofErr w:type="gramEnd"/>
      <w:r w:rsidR="00CB0B77" w:rsidRPr="005170C9">
        <w:rPr>
          <w:rFonts w:ascii="Helvetica Neue" w:hAnsi="Helvetica Neue" w:cs="Helvetica"/>
          <w:sz w:val="22"/>
          <w:szCs w:val="22"/>
          <w:lang w:val="en-US"/>
        </w:rPr>
        <w:t>.</w:t>
      </w:r>
    </w:p>
    <w:p w14:paraId="2C6606F2" w14:textId="77777777" w:rsidR="00A4543A" w:rsidRPr="005170C9" w:rsidRDefault="00A4543A" w:rsidP="00ED7808">
      <w:pPr>
        <w:jc w:val="both"/>
        <w:rPr>
          <w:rFonts w:ascii="Helvetica Neue" w:hAnsi="Helvetica Neue" w:cs="Helvetica"/>
          <w:sz w:val="22"/>
          <w:szCs w:val="22"/>
          <w:lang w:val="en-US"/>
        </w:rPr>
      </w:pPr>
    </w:p>
    <w:p w14:paraId="612535B9" w14:textId="77777777" w:rsidR="006E43DD" w:rsidRPr="005170C9" w:rsidRDefault="0075326D"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If a complaint is made to the Australian Human Rights Commission that particular public expressions or images fall within that narrow band</w:t>
      </w:r>
      <w:r w:rsidR="00B900F5" w:rsidRPr="005170C9">
        <w:rPr>
          <w:rFonts w:ascii="Helvetica Neue" w:hAnsi="Helvetica Neue" w:cs="Helvetica"/>
          <w:sz w:val="22"/>
          <w:szCs w:val="22"/>
          <w:lang w:val="en-US"/>
        </w:rPr>
        <w:t xml:space="preserve"> covered by the RDA</w:t>
      </w:r>
      <w:r w:rsidRPr="005170C9">
        <w:rPr>
          <w:rFonts w:ascii="Helvetica Neue" w:hAnsi="Helvetica Neue" w:cs="Helvetica"/>
          <w:sz w:val="22"/>
          <w:szCs w:val="22"/>
          <w:lang w:val="en-US"/>
        </w:rPr>
        <w:t xml:space="preserve">, then the Commission considers the matter. If it believes the complaint has some substance, it investigates further.  If the complaint is found to be without substance, there the matter ends.  Otherwise, the Commission attempts to bring the </w:t>
      </w:r>
      <w:r w:rsidR="001952AD">
        <w:rPr>
          <w:rFonts w:ascii="Helvetica Neue" w:hAnsi="Helvetica Neue" w:cs="Helvetica"/>
          <w:sz w:val="22"/>
          <w:szCs w:val="22"/>
          <w:lang w:val="en-US"/>
        </w:rPr>
        <w:t>parties involved</w:t>
      </w:r>
      <w:r w:rsidRPr="005170C9">
        <w:rPr>
          <w:rFonts w:ascii="Helvetica Neue" w:hAnsi="Helvetica Neue" w:cs="Helvetica"/>
          <w:sz w:val="22"/>
          <w:szCs w:val="22"/>
          <w:lang w:val="en-US"/>
        </w:rPr>
        <w:t xml:space="preserve"> to a mutual understanding or conciliation.  This might involve explaining how racist speech can be harmful. </w:t>
      </w:r>
    </w:p>
    <w:p w14:paraId="6B8AE2CE" w14:textId="77777777" w:rsidR="00F04A51" w:rsidRPr="005170C9" w:rsidRDefault="00F04A51" w:rsidP="00ED7808">
      <w:pPr>
        <w:jc w:val="both"/>
        <w:rPr>
          <w:rFonts w:ascii="Helvetica Neue" w:hAnsi="Helvetica Neue" w:cs="Helvetica"/>
          <w:sz w:val="22"/>
          <w:szCs w:val="22"/>
          <w:lang w:val="en-US"/>
        </w:rPr>
      </w:pPr>
    </w:p>
    <w:p w14:paraId="4A2BE88E" w14:textId="77777777" w:rsidR="00AE237B" w:rsidRPr="00AE237B" w:rsidRDefault="00AE237B" w:rsidP="00ED7808">
      <w:pPr>
        <w:keepNext/>
        <w:jc w:val="both"/>
        <w:rPr>
          <w:rFonts w:ascii="Arial" w:hAnsi="Arial" w:cs="Times New Roman"/>
          <w:b/>
          <w:color w:val="262626"/>
          <w:sz w:val="22"/>
          <w:szCs w:val="22"/>
          <w:lang w:val="en-US"/>
        </w:rPr>
      </w:pPr>
      <w:r w:rsidRPr="00AE237B">
        <w:rPr>
          <w:rFonts w:ascii="Arial" w:hAnsi="Arial" w:cs="Times New Roman"/>
          <w:b/>
          <w:color w:val="262626"/>
          <w:sz w:val="22"/>
          <w:szCs w:val="22"/>
          <w:lang w:val="en-US"/>
        </w:rPr>
        <w:t>How does the RDA stand up against international law?</w:t>
      </w:r>
    </w:p>
    <w:p w14:paraId="118562D6" w14:textId="77777777" w:rsidR="00AE237B" w:rsidRDefault="00AE237B" w:rsidP="00ED7808">
      <w:pPr>
        <w:keepNext/>
        <w:jc w:val="both"/>
        <w:rPr>
          <w:rFonts w:ascii="Arial" w:hAnsi="Arial" w:cs="Times New Roman"/>
          <w:color w:val="262626"/>
          <w:sz w:val="22"/>
          <w:szCs w:val="22"/>
          <w:lang w:val="en-US"/>
        </w:rPr>
      </w:pPr>
    </w:p>
    <w:p w14:paraId="452D57A6" w14:textId="13C87E43" w:rsidR="004A0045" w:rsidRPr="005170C9" w:rsidRDefault="00597994" w:rsidP="00ED7808">
      <w:pPr>
        <w:jc w:val="both"/>
        <w:rPr>
          <w:rFonts w:ascii="Helvetica Neue" w:hAnsi="Helvetica Neue" w:cs="Helvetica"/>
          <w:sz w:val="22"/>
          <w:szCs w:val="22"/>
          <w:lang w:val="en-US"/>
        </w:rPr>
      </w:pPr>
      <w:r w:rsidRPr="005170C9">
        <w:rPr>
          <w:rFonts w:ascii="Arial" w:hAnsi="Arial" w:cs="Times New Roman"/>
          <w:color w:val="262626"/>
          <w:sz w:val="22"/>
          <w:szCs w:val="22"/>
          <w:lang w:val="en-US"/>
        </w:rPr>
        <w:t>The Full Co</w:t>
      </w:r>
      <w:r w:rsidR="00F70248">
        <w:rPr>
          <w:rFonts w:ascii="Arial" w:hAnsi="Arial" w:cs="Times New Roman"/>
          <w:color w:val="262626"/>
          <w:sz w:val="22"/>
          <w:szCs w:val="22"/>
          <w:lang w:val="en-US"/>
        </w:rPr>
        <w:t xml:space="preserve">urt of the Federal Court in </w:t>
      </w:r>
      <w:proofErr w:type="spellStart"/>
      <w:r w:rsidRPr="005170C9">
        <w:rPr>
          <w:rFonts w:ascii="Arial" w:hAnsi="Arial" w:cs="Times New Roman"/>
          <w:color w:val="262626"/>
          <w:sz w:val="22"/>
          <w:szCs w:val="22"/>
          <w:lang w:val="en-US"/>
        </w:rPr>
        <w:t>Toben</w:t>
      </w:r>
      <w:proofErr w:type="spellEnd"/>
      <w:r w:rsidRPr="005170C9">
        <w:rPr>
          <w:rFonts w:ascii="Arial" w:hAnsi="Arial" w:cs="Times New Roman"/>
          <w:color w:val="262626"/>
          <w:sz w:val="22"/>
          <w:szCs w:val="22"/>
          <w:lang w:val="en-US"/>
        </w:rPr>
        <w:t xml:space="preserve"> v Jones held that the racial </w:t>
      </w:r>
      <w:r w:rsidR="00E32A13">
        <w:rPr>
          <w:rFonts w:ascii="Arial" w:hAnsi="Arial" w:cs="Times New Roman"/>
          <w:color w:val="262626"/>
          <w:sz w:val="22"/>
          <w:szCs w:val="22"/>
          <w:lang w:val="en-US"/>
        </w:rPr>
        <w:t>vilif</w:t>
      </w:r>
      <w:r w:rsidR="00F70248">
        <w:rPr>
          <w:rFonts w:ascii="Arial" w:hAnsi="Arial" w:cs="Times New Roman"/>
          <w:color w:val="262626"/>
          <w:sz w:val="22"/>
          <w:szCs w:val="22"/>
          <w:lang w:val="en-US"/>
        </w:rPr>
        <w:t>i</w:t>
      </w:r>
      <w:r w:rsidR="00E32A13">
        <w:rPr>
          <w:rFonts w:ascii="Arial" w:hAnsi="Arial" w:cs="Times New Roman"/>
          <w:color w:val="262626"/>
          <w:sz w:val="22"/>
          <w:szCs w:val="22"/>
          <w:lang w:val="en-US"/>
        </w:rPr>
        <w:t xml:space="preserve">cation </w:t>
      </w:r>
      <w:r w:rsidRPr="005170C9">
        <w:rPr>
          <w:rFonts w:ascii="Arial" w:hAnsi="Arial" w:cs="Times New Roman"/>
          <w:color w:val="262626"/>
          <w:sz w:val="22"/>
          <w:szCs w:val="22"/>
          <w:lang w:val="en-US"/>
        </w:rPr>
        <w:t xml:space="preserve">provisions in the RDA were constitutionally valid on the basis that they were consistent with Australia’s obligations under </w:t>
      </w:r>
      <w:r w:rsidRPr="005170C9">
        <w:rPr>
          <w:rFonts w:ascii="Helvetica Neue" w:hAnsi="Helvetica Neue"/>
          <w:i/>
          <w:sz w:val="22"/>
          <w:szCs w:val="22"/>
        </w:rPr>
        <w:t>International Convention on the Elimination of All Forms of Racial Discrimination</w:t>
      </w:r>
      <w:r w:rsidRPr="005170C9">
        <w:rPr>
          <w:rFonts w:ascii="Helvetica Neue" w:hAnsi="Helvetica Neue"/>
          <w:sz w:val="22"/>
          <w:szCs w:val="22"/>
        </w:rPr>
        <w:t xml:space="preserve"> (ICERD) </w:t>
      </w:r>
      <w:r w:rsidRPr="005170C9">
        <w:rPr>
          <w:rFonts w:ascii="Arial" w:hAnsi="Arial" w:cs="Times New Roman"/>
          <w:color w:val="262626"/>
          <w:sz w:val="22"/>
          <w:szCs w:val="22"/>
          <w:lang w:val="en-US"/>
        </w:rPr>
        <w:t xml:space="preserve">and the </w:t>
      </w:r>
      <w:r w:rsidRPr="005170C9">
        <w:rPr>
          <w:rFonts w:ascii="Helvetica Neue" w:hAnsi="Helvetica Neue" w:cs="Helvetica"/>
          <w:i/>
          <w:sz w:val="22"/>
          <w:szCs w:val="22"/>
          <w:lang w:val="en-US"/>
        </w:rPr>
        <w:t>International Covenant on Civil and Political Rights</w:t>
      </w:r>
      <w:r w:rsidRPr="005170C9">
        <w:rPr>
          <w:rFonts w:ascii="Helvetica Neue" w:hAnsi="Helvetica Neue" w:cs="Helvetica"/>
          <w:sz w:val="22"/>
          <w:szCs w:val="22"/>
          <w:lang w:val="en-US"/>
        </w:rPr>
        <w:t xml:space="preserve"> (ICCPR).</w:t>
      </w:r>
    </w:p>
    <w:p w14:paraId="77886613" w14:textId="77777777" w:rsidR="00B900F5" w:rsidRPr="005170C9" w:rsidRDefault="00B900F5" w:rsidP="00ED7808">
      <w:pPr>
        <w:jc w:val="both"/>
        <w:rPr>
          <w:rFonts w:ascii="Helvetica Neue" w:hAnsi="Helvetica Neue" w:cs="Helvetica"/>
          <w:sz w:val="22"/>
          <w:szCs w:val="22"/>
          <w:lang w:val="en-US"/>
        </w:rPr>
      </w:pPr>
    </w:p>
    <w:p w14:paraId="46C0E0E3" w14:textId="77777777" w:rsidR="00D228EC" w:rsidRPr="00377AE2" w:rsidRDefault="004A0045" w:rsidP="00ED7808">
      <w:pPr>
        <w:jc w:val="both"/>
        <w:rPr>
          <w:rFonts w:ascii="Helvetica Neue" w:hAnsi="Helvetica Neue" w:cs="Helvetica"/>
          <w:sz w:val="22"/>
          <w:szCs w:val="22"/>
          <w:lang w:val="en-US"/>
        </w:rPr>
      </w:pPr>
      <w:r w:rsidRPr="005170C9">
        <w:rPr>
          <w:rFonts w:ascii="Helvetica Neue" w:hAnsi="Helvetica Neue" w:cs="Helvetica"/>
          <w:sz w:val="22"/>
          <w:szCs w:val="22"/>
          <w:lang w:val="en-US"/>
        </w:rPr>
        <w:t xml:space="preserve">Article 19 </w:t>
      </w:r>
      <w:r w:rsidR="00E32A13">
        <w:rPr>
          <w:rFonts w:ascii="Helvetica Neue" w:hAnsi="Helvetica Neue" w:cs="Helvetica"/>
          <w:sz w:val="22"/>
          <w:szCs w:val="22"/>
          <w:lang w:val="en-US"/>
        </w:rPr>
        <w:t>of</w:t>
      </w:r>
      <w:r w:rsidRPr="005170C9">
        <w:rPr>
          <w:rFonts w:ascii="Helvetica Neue" w:hAnsi="Helvetica Neue" w:cs="Helvetica"/>
          <w:sz w:val="22"/>
          <w:szCs w:val="22"/>
          <w:lang w:val="en-US"/>
        </w:rPr>
        <w:t xml:space="preserve"> the </w:t>
      </w:r>
      <w:r w:rsidR="00E32A13">
        <w:rPr>
          <w:rFonts w:ascii="Helvetica Neue" w:hAnsi="Helvetica Neue" w:cs="Helvetica"/>
          <w:sz w:val="22"/>
          <w:szCs w:val="22"/>
          <w:lang w:val="en-US"/>
        </w:rPr>
        <w:t>ICCPR</w:t>
      </w:r>
      <w:r w:rsidR="00377AE2">
        <w:rPr>
          <w:rFonts w:ascii="Helvetica Neue" w:hAnsi="Helvetica Neue" w:cs="Helvetica"/>
          <w:sz w:val="22"/>
          <w:szCs w:val="22"/>
          <w:lang w:val="en-US"/>
        </w:rPr>
        <w:t xml:space="preserve"> refers to the importance of freedom of expression, but </w:t>
      </w:r>
      <w:r w:rsidR="00D01BA8" w:rsidRPr="005170C9">
        <w:rPr>
          <w:rFonts w:ascii="Helvetica Neue" w:hAnsi="Helvetica Neue" w:cs="Helvetica"/>
          <w:sz w:val="22"/>
          <w:szCs w:val="22"/>
          <w:lang w:val="en-US"/>
        </w:rPr>
        <w:t xml:space="preserve">provides that the right to freedom of expression ‘carries with it special duties and responsibilities’ </w:t>
      </w:r>
      <w:r w:rsidR="00D01BA8">
        <w:rPr>
          <w:rFonts w:ascii="Helvetica Neue" w:hAnsi="Helvetica Neue" w:cs="Helvetica"/>
          <w:sz w:val="22"/>
          <w:szCs w:val="22"/>
          <w:lang w:val="en-US"/>
        </w:rPr>
        <w:t xml:space="preserve">and </w:t>
      </w:r>
      <w:r w:rsidR="00377AE2" w:rsidRPr="005170C9">
        <w:rPr>
          <w:rFonts w:ascii="Helvetica Neue" w:hAnsi="Helvetica Neue"/>
          <w:sz w:val="22"/>
          <w:szCs w:val="22"/>
        </w:rPr>
        <w:t>Article 19(3) of the ICCPR places a clear limitation on the freedom of expression in relation to the respect for the reputation of others</w:t>
      </w:r>
      <w:r w:rsidR="00377AE2">
        <w:rPr>
          <w:rFonts w:ascii="Helvetica Neue" w:hAnsi="Helvetica Neue"/>
          <w:sz w:val="22"/>
          <w:szCs w:val="22"/>
        </w:rPr>
        <w:t xml:space="preserve">.  </w:t>
      </w:r>
      <w:r w:rsidR="00D01BA8">
        <w:rPr>
          <w:rFonts w:ascii="Helvetica Neue" w:hAnsi="Helvetica Neue"/>
          <w:sz w:val="22"/>
          <w:szCs w:val="22"/>
        </w:rPr>
        <w:t>The</w:t>
      </w:r>
      <w:r w:rsidR="00377AE2">
        <w:rPr>
          <w:rFonts w:ascii="Helvetica Neue" w:hAnsi="Helvetica Neue"/>
          <w:sz w:val="22"/>
          <w:szCs w:val="22"/>
        </w:rPr>
        <w:t xml:space="preserve"> following article, Article </w:t>
      </w:r>
      <w:r w:rsidR="00E92B4C" w:rsidRPr="005170C9">
        <w:rPr>
          <w:rFonts w:ascii="Helvetica Neue" w:hAnsi="Helvetica Neue"/>
          <w:sz w:val="22"/>
          <w:szCs w:val="22"/>
          <w:lang w:val="fr-FR"/>
        </w:rPr>
        <w:t>20,</w:t>
      </w:r>
      <w:r w:rsidR="00E92B4C" w:rsidRPr="005170C9">
        <w:rPr>
          <w:rFonts w:ascii="Helvetica Neue" w:hAnsi="Helvetica Neue"/>
          <w:sz w:val="22"/>
          <w:szCs w:val="22"/>
        </w:rPr>
        <w:t xml:space="preserve"> explicitly </w:t>
      </w:r>
      <w:r w:rsidR="006839F9" w:rsidRPr="005170C9">
        <w:rPr>
          <w:rFonts w:ascii="Helvetica Neue" w:hAnsi="Helvetica Neue"/>
          <w:sz w:val="22"/>
          <w:szCs w:val="22"/>
        </w:rPr>
        <w:t>states that</w:t>
      </w:r>
      <w:r w:rsidR="00E92B4C" w:rsidRPr="005170C9">
        <w:rPr>
          <w:rFonts w:ascii="Helvetica Neue" w:hAnsi="Helvetica Neue"/>
          <w:sz w:val="22"/>
          <w:szCs w:val="22"/>
        </w:rPr>
        <w:t xml:space="preserve"> ‘[</w:t>
      </w:r>
      <w:proofErr w:type="gramStart"/>
      <w:r w:rsidR="00E92B4C" w:rsidRPr="005170C9">
        <w:rPr>
          <w:rFonts w:ascii="Helvetica Neue" w:hAnsi="Helvetica Neue"/>
          <w:sz w:val="22"/>
          <w:szCs w:val="22"/>
        </w:rPr>
        <w:t>a]</w:t>
      </w:r>
      <w:proofErr w:type="spellStart"/>
      <w:r w:rsidR="00E92B4C" w:rsidRPr="005170C9">
        <w:rPr>
          <w:rFonts w:ascii="Helvetica Neue" w:hAnsi="Helvetica Neue"/>
          <w:sz w:val="22"/>
          <w:szCs w:val="22"/>
        </w:rPr>
        <w:t>ny</w:t>
      </w:r>
      <w:proofErr w:type="spellEnd"/>
      <w:proofErr w:type="gramEnd"/>
      <w:r w:rsidR="00E92B4C" w:rsidRPr="005170C9">
        <w:rPr>
          <w:rFonts w:ascii="Helvetica Neue" w:hAnsi="Helvetica Neue"/>
          <w:sz w:val="22"/>
          <w:szCs w:val="22"/>
        </w:rPr>
        <w:t xml:space="preserve"> advocacy of national, racial or religious hatred that constitutes incitement to discrimination, hostility or violence shall be prohibited by law</w:t>
      </w:r>
      <w:r w:rsidR="00E92B4C" w:rsidRPr="005170C9">
        <w:rPr>
          <w:rFonts w:ascii="Helvetica Neue" w:hAnsi="Helvetica Neue"/>
          <w:sz w:val="22"/>
          <w:szCs w:val="22"/>
          <w:lang w:val="fr-FR"/>
        </w:rPr>
        <w:t>’</w:t>
      </w:r>
      <w:r w:rsidR="00E92B4C" w:rsidRPr="005170C9">
        <w:rPr>
          <w:rFonts w:ascii="Helvetica Neue" w:hAnsi="Helvetica Neue"/>
          <w:sz w:val="22"/>
          <w:szCs w:val="22"/>
        </w:rPr>
        <w:t xml:space="preserve">. </w:t>
      </w:r>
    </w:p>
    <w:p w14:paraId="70803336" w14:textId="77777777" w:rsidR="00D83C66" w:rsidRPr="005170C9" w:rsidRDefault="00D83C66" w:rsidP="00ED7808">
      <w:pPr>
        <w:jc w:val="both"/>
        <w:rPr>
          <w:rFonts w:ascii="Helvetica Neue" w:hAnsi="Helvetica Neue"/>
          <w:sz w:val="22"/>
          <w:szCs w:val="22"/>
        </w:rPr>
      </w:pPr>
    </w:p>
    <w:p w14:paraId="01399B27" w14:textId="77777777" w:rsidR="00D83C66" w:rsidRPr="005170C9" w:rsidRDefault="00D83C66" w:rsidP="00ED7808">
      <w:pPr>
        <w:jc w:val="both"/>
        <w:rPr>
          <w:rFonts w:ascii="Helvetica Neue" w:hAnsi="Helvetica Neue"/>
          <w:sz w:val="22"/>
          <w:szCs w:val="22"/>
        </w:rPr>
      </w:pPr>
      <w:r w:rsidRPr="005170C9">
        <w:rPr>
          <w:rFonts w:ascii="Helvetica Neue" w:hAnsi="Helvetica Neue"/>
          <w:sz w:val="22"/>
          <w:szCs w:val="22"/>
        </w:rPr>
        <w:t xml:space="preserve">In addition: </w:t>
      </w:r>
    </w:p>
    <w:p w14:paraId="1A01D673" w14:textId="77777777" w:rsidR="00693047" w:rsidRPr="005170C9" w:rsidRDefault="00693047" w:rsidP="00ED7808">
      <w:pPr>
        <w:jc w:val="both"/>
        <w:rPr>
          <w:rFonts w:ascii="Helvetica Neue" w:hAnsi="Helvetica Neue"/>
          <w:sz w:val="22"/>
          <w:szCs w:val="22"/>
        </w:rPr>
      </w:pPr>
    </w:p>
    <w:p w14:paraId="538CC4DB" w14:textId="77777777" w:rsidR="00F67E87" w:rsidRPr="005170C9" w:rsidRDefault="00D83C66" w:rsidP="00ED7808">
      <w:pPr>
        <w:pStyle w:val="ListParagraph"/>
        <w:numPr>
          <w:ilvl w:val="0"/>
          <w:numId w:val="1"/>
        </w:numPr>
        <w:ind w:left="426"/>
        <w:jc w:val="both"/>
        <w:rPr>
          <w:rFonts w:ascii="Helvetica Neue" w:hAnsi="Helvetica Neue" w:cs="Helvetica"/>
          <w:sz w:val="22"/>
          <w:szCs w:val="22"/>
          <w:lang w:val="en-US"/>
        </w:rPr>
      </w:pPr>
      <w:r w:rsidRPr="005170C9">
        <w:rPr>
          <w:rFonts w:ascii="Helvetica Neue" w:hAnsi="Helvetica Neue"/>
          <w:sz w:val="22"/>
          <w:szCs w:val="22"/>
        </w:rPr>
        <w:t xml:space="preserve">Article </w:t>
      </w:r>
      <w:r w:rsidRPr="005170C9">
        <w:rPr>
          <w:rFonts w:ascii="Helvetica Neue" w:hAnsi="Helvetica Neue" w:cs="Helvetica"/>
          <w:sz w:val="22"/>
          <w:szCs w:val="22"/>
          <w:lang w:val="en-US"/>
        </w:rPr>
        <w:t xml:space="preserve">26 of the ICCPR enshrines the right to be free from discrimination, (including racist discrimination) </w:t>
      </w:r>
    </w:p>
    <w:p w14:paraId="5A68EB0C" w14:textId="77777777" w:rsidR="00F67E87" w:rsidRPr="005170C9" w:rsidRDefault="00693047" w:rsidP="00ED7808">
      <w:pPr>
        <w:pStyle w:val="ListParagraph"/>
        <w:numPr>
          <w:ilvl w:val="0"/>
          <w:numId w:val="1"/>
        </w:numPr>
        <w:spacing w:before="120" w:after="120"/>
        <w:ind w:left="426"/>
        <w:jc w:val="both"/>
        <w:rPr>
          <w:rFonts w:ascii="Helvetica Neue" w:eastAsia="Arial" w:hAnsi="Helvetica Neue" w:cs="Arial"/>
          <w:sz w:val="22"/>
          <w:szCs w:val="22"/>
          <w:u w:color="0226CB"/>
        </w:rPr>
      </w:pPr>
      <w:proofErr w:type="gramStart"/>
      <w:r w:rsidRPr="005170C9">
        <w:rPr>
          <w:rFonts w:ascii="Helvetica Neue" w:hAnsi="Helvetica Neue" w:cs="Helvetica"/>
          <w:sz w:val="22"/>
          <w:szCs w:val="22"/>
          <w:lang w:val="en-US"/>
        </w:rPr>
        <w:t>t</w:t>
      </w:r>
      <w:r w:rsidR="00D83C66" w:rsidRPr="005170C9">
        <w:rPr>
          <w:rFonts w:ascii="Helvetica Neue" w:hAnsi="Helvetica Neue" w:cs="Helvetica"/>
          <w:sz w:val="22"/>
          <w:szCs w:val="22"/>
          <w:lang w:val="en-US"/>
        </w:rPr>
        <w:t>he</w:t>
      </w:r>
      <w:proofErr w:type="gramEnd"/>
      <w:r w:rsidR="00D83C66" w:rsidRPr="005170C9">
        <w:rPr>
          <w:rFonts w:ascii="Helvetica Neue" w:hAnsi="Helvetica Neue" w:cs="Helvetica"/>
          <w:sz w:val="22"/>
          <w:szCs w:val="22"/>
          <w:lang w:val="en-US"/>
        </w:rPr>
        <w:t xml:space="preserve"> Preamble to the ICCPR clarifies that all rights are about protecting "</w:t>
      </w:r>
      <w:r w:rsidR="00D83C66" w:rsidRPr="005170C9">
        <w:rPr>
          <w:rFonts w:ascii="Helvetica Neue" w:hAnsi="Helvetica Neue" w:cs="Verdana"/>
          <w:sz w:val="22"/>
          <w:szCs w:val="22"/>
          <w:lang w:val="en-US"/>
        </w:rPr>
        <w:t>the inherent dignity of the human person” </w:t>
      </w:r>
      <w:r w:rsidR="00D83C66" w:rsidRPr="005170C9">
        <w:rPr>
          <w:rFonts w:ascii="Helvetica Neue" w:hAnsi="Helvetica Neue" w:cs="Helvetica"/>
          <w:sz w:val="22"/>
          <w:szCs w:val="22"/>
          <w:lang w:val="en-US"/>
        </w:rPr>
        <w:t>(which would be diminished by racist speech)</w:t>
      </w:r>
    </w:p>
    <w:p w14:paraId="060E19A8" w14:textId="77777777" w:rsidR="00F67E87" w:rsidRPr="005170C9" w:rsidRDefault="00F67E87" w:rsidP="00ED7808">
      <w:pPr>
        <w:pStyle w:val="ListParagraph"/>
        <w:numPr>
          <w:ilvl w:val="0"/>
          <w:numId w:val="1"/>
        </w:numPr>
        <w:spacing w:before="120" w:after="120"/>
        <w:ind w:left="426"/>
        <w:jc w:val="both"/>
        <w:rPr>
          <w:rFonts w:ascii="Helvetica Neue" w:eastAsia="Arial" w:hAnsi="Helvetica Neue" w:cs="Arial"/>
          <w:sz w:val="22"/>
          <w:szCs w:val="22"/>
          <w:u w:color="0226CB"/>
        </w:rPr>
      </w:pPr>
      <w:r w:rsidRPr="005170C9">
        <w:rPr>
          <w:rFonts w:ascii="Helvetica Neue" w:hAnsi="Helvetica Neue"/>
          <w:sz w:val="22"/>
          <w:szCs w:val="22"/>
        </w:rPr>
        <w:t xml:space="preserve">Article 17(1) of the ICCPR enshrines the right to protection from attacks on honour and reputation </w:t>
      </w:r>
    </w:p>
    <w:p w14:paraId="65FB03E4" w14:textId="77777777" w:rsidR="00F67E87" w:rsidRPr="005170C9" w:rsidRDefault="00F67E87" w:rsidP="00ED7808">
      <w:pPr>
        <w:pStyle w:val="ListParagraph"/>
        <w:numPr>
          <w:ilvl w:val="0"/>
          <w:numId w:val="1"/>
        </w:numPr>
        <w:ind w:left="426"/>
        <w:jc w:val="both"/>
        <w:rPr>
          <w:rFonts w:ascii="Helvetica Neue" w:hAnsi="Helvetica Neue"/>
          <w:sz w:val="22"/>
          <w:szCs w:val="22"/>
        </w:rPr>
      </w:pPr>
      <w:r w:rsidRPr="005170C9">
        <w:rPr>
          <w:rFonts w:ascii="Helvetica Neue" w:hAnsi="Helvetica Neue"/>
          <w:sz w:val="22"/>
          <w:szCs w:val="22"/>
        </w:rPr>
        <w:t xml:space="preserve">Article 4 of the </w:t>
      </w:r>
      <w:r w:rsidR="00F515F6" w:rsidRPr="00F515F6">
        <w:rPr>
          <w:rFonts w:ascii="Helvetica Neue" w:hAnsi="Helvetica Neue"/>
          <w:sz w:val="22"/>
          <w:szCs w:val="22"/>
        </w:rPr>
        <w:t>ICERD</w:t>
      </w:r>
      <w:r w:rsidRPr="00F515F6">
        <w:rPr>
          <w:rFonts w:ascii="Helvetica Neue" w:hAnsi="Helvetica Neue"/>
          <w:sz w:val="22"/>
          <w:szCs w:val="22"/>
        </w:rPr>
        <w:t xml:space="preserve"> </w:t>
      </w:r>
      <w:r w:rsidRPr="005170C9">
        <w:rPr>
          <w:rFonts w:ascii="Helvetica Neue" w:hAnsi="Helvetica Neue"/>
          <w:sz w:val="22"/>
          <w:szCs w:val="22"/>
        </w:rPr>
        <w:t xml:space="preserve">requires State Parties to criminalise all dissemination of ideas based on racial superiority or hatred and incitement to racial discrimination, as well as all acts of violence or incitement to such acts against any racial or ethnic groups. </w:t>
      </w:r>
    </w:p>
    <w:p w14:paraId="69D13511" w14:textId="77777777" w:rsidR="00F67E87" w:rsidRPr="005170C9" w:rsidRDefault="00F67E87" w:rsidP="00ED7808">
      <w:pPr>
        <w:pStyle w:val="BodyA"/>
        <w:tabs>
          <w:tab w:val="left" w:pos="0"/>
        </w:tabs>
        <w:spacing w:before="120" w:after="120"/>
        <w:jc w:val="both"/>
        <w:rPr>
          <w:rFonts w:ascii="Helvetica Neue" w:eastAsia="Arial" w:hAnsi="Helvetica Neue" w:cs="Arial"/>
          <w:u w:color="0226CB"/>
        </w:rPr>
      </w:pPr>
      <w:r w:rsidRPr="005170C9">
        <w:rPr>
          <w:rFonts w:ascii="Helvetica Neue" w:hAnsi="Helvetica Neue"/>
          <w:u w:color="0226CB"/>
        </w:rPr>
        <w:t xml:space="preserve">ALHR believes that international law: </w:t>
      </w:r>
    </w:p>
    <w:p w14:paraId="19EDB4F4" w14:textId="77777777" w:rsidR="00F67E87" w:rsidRPr="005170C9" w:rsidRDefault="00F67E87" w:rsidP="00ED7808">
      <w:pPr>
        <w:pStyle w:val="BodyA"/>
        <w:numPr>
          <w:ilvl w:val="0"/>
          <w:numId w:val="1"/>
        </w:numPr>
        <w:tabs>
          <w:tab w:val="num" w:pos="927"/>
        </w:tabs>
        <w:spacing w:before="120" w:after="120"/>
        <w:ind w:left="426"/>
        <w:jc w:val="both"/>
        <w:rPr>
          <w:rFonts w:ascii="Helvetica Neue" w:eastAsia="Arial" w:hAnsi="Helvetica Neue" w:cs="Arial"/>
          <w:u w:color="0226CB"/>
        </w:rPr>
      </w:pPr>
      <w:proofErr w:type="gramStart"/>
      <w:r w:rsidRPr="005170C9">
        <w:rPr>
          <w:rFonts w:ascii="Helvetica Neue" w:hAnsi="Helvetica Neue"/>
          <w:u w:color="0226CB"/>
        </w:rPr>
        <w:t>requires</w:t>
      </w:r>
      <w:proofErr w:type="gramEnd"/>
      <w:r w:rsidRPr="005170C9">
        <w:rPr>
          <w:rFonts w:ascii="Helvetica Neue" w:hAnsi="Helvetica Neue"/>
          <w:u w:color="0226CB"/>
        </w:rPr>
        <w:t xml:space="preserve"> Australia to prohibit racial hatred and discrimination by federal legislation, and </w:t>
      </w:r>
    </w:p>
    <w:p w14:paraId="4F43BE12" w14:textId="77777777" w:rsidR="00F67E87" w:rsidRPr="005170C9" w:rsidRDefault="00F67E87" w:rsidP="00ED7808">
      <w:pPr>
        <w:pStyle w:val="BodyA"/>
        <w:numPr>
          <w:ilvl w:val="0"/>
          <w:numId w:val="1"/>
        </w:numPr>
        <w:tabs>
          <w:tab w:val="num" w:pos="927"/>
        </w:tabs>
        <w:spacing w:before="120" w:after="120"/>
        <w:ind w:left="426"/>
        <w:jc w:val="both"/>
        <w:rPr>
          <w:rFonts w:ascii="Helvetica Neue" w:eastAsia="Arial" w:hAnsi="Helvetica Neue" w:cs="Arial"/>
          <w:u w:color="0226CB"/>
        </w:rPr>
      </w:pPr>
      <w:proofErr w:type="gramStart"/>
      <w:r w:rsidRPr="005170C9">
        <w:rPr>
          <w:rFonts w:ascii="Helvetica Neue" w:hAnsi="Helvetica Neue"/>
          <w:u w:color="0226CB"/>
        </w:rPr>
        <w:t>confirms</w:t>
      </w:r>
      <w:proofErr w:type="gramEnd"/>
      <w:r w:rsidRPr="005170C9">
        <w:rPr>
          <w:rFonts w:ascii="Helvetica Neue" w:hAnsi="Helvetica Neue"/>
          <w:u w:color="0226CB"/>
        </w:rPr>
        <w:t xml:space="preserve"> that such legislation is a legitimate restriction on freedom of speech. </w:t>
      </w:r>
    </w:p>
    <w:p w14:paraId="74DF92AD" w14:textId="77777777" w:rsidR="00C427C7" w:rsidRDefault="00C427C7" w:rsidP="00ED7808">
      <w:pPr>
        <w:pStyle w:val="ListParagraph"/>
        <w:widowControl w:val="0"/>
        <w:autoSpaceDE w:val="0"/>
        <w:autoSpaceDN w:val="0"/>
        <w:adjustRightInd w:val="0"/>
        <w:ind w:left="0"/>
        <w:jc w:val="both"/>
        <w:rPr>
          <w:rFonts w:ascii="Helvetica Neue" w:hAnsi="Helvetica Neue" w:cs="Helvetica"/>
          <w:sz w:val="22"/>
          <w:szCs w:val="22"/>
          <w:lang w:val="en-US"/>
        </w:rPr>
      </w:pPr>
      <w:r w:rsidRPr="00C427C7">
        <w:rPr>
          <w:rFonts w:ascii="Helvetica Neue" w:hAnsi="Helvetica Neue" w:cs="Helvetica"/>
          <w:sz w:val="22"/>
          <w:szCs w:val="22"/>
          <w:lang w:val="en-US"/>
        </w:rPr>
        <w:t>“As with the interpretation of all laws</w:t>
      </w:r>
      <w:r>
        <w:rPr>
          <w:rFonts w:ascii="Helvetica Neue" w:hAnsi="Helvetica Neue" w:cs="Helvetica"/>
          <w:sz w:val="22"/>
          <w:szCs w:val="22"/>
          <w:lang w:val="en-US"/>
        </w:rPr>
        <w:t>”</w:t>
      </w:r>
      <w:r w:rsidRPr="00C427C7">
        <w:rPr>
          <w:rFonts w:ascii="Helvetica Neue" w:hAnsi="Helvetica Neue" w:cs="Helvetica"/>
          <w:sz w:val="22"/>
          <w:szCs w:val="22"/>
          <w:lang w:val="en-US"/>
        </w:rPr>
        <w:t xml:space="preserve">, </w:t>
      </w:r>
      <w:r w:rsidRPr="005170C9">
        <w:rPr>
          <w:rFonts w:ascii="Helvetica Neue" w:hAnsi="Helvetica Neue"/>
          <w:sz w:val="22"/>
          <w:szCs w:val="22"/>
          <w:lang w:val="en-US"/>
        </w:rPr>
        <w:t>says ALHR President Benedict Coyne</w:t>
      </w:r>
      <w:r>
        <w:rPr>
          <w:rFonts w:ascii="Helvetica Neue" w:hAnsi="Helvetica Neue" w:cs="Helvetica"/>
          <w:sz w:val="22"/>
          <w:szCs w:val="22"/>
          <w:lang w:val="en-US"/>
        </w:rPr>
        <w:t>, “i</w:t>
      </w:r>
      <w:r w:rsidRPr="00C427C7">
        <w:rPr>
          <w:rFonts w:ascii="Helvetica Neue" w:hAnsi="Helvetica Neue" w:cs="Helvetica"/>
          <w:sz w:val="22"/>
          <w:szCs w:val="22"/>
          <w:lang w:val="en-US"/>
        </w:rPr>
        <w:t xml:space="preserve">t is important to read both the RDA and relevant international treaties in their entirety in order to properly understand their application in the real world of a multiplicity of rights, some of which are sometimes competing rights and which need to be adequately balanced. </w:t>
      </w:r>
      <w:r w:rsidR="0006477B">
        <w:rPr>
          <w:rFonts w:ascii="Helvetica Neue" w:hAnsi="Helvetica Neue" w:cs="Helvetica"/>
          <w:sz w:val="22"/>
          <w:szCs w:val="22"/>
          <w:lang w:val="en-US"/>
        </w:rPr>
        <w:t xml:space="preserve">  In our view the RDA, as presently drafted, appropriately reflects the balance</w:t>
      </w:r>
      <w:r w:rsidR="004435EF">
        <w:rPr>
          <w:rFonts w:ascii="Helvetica Neue" w:hAnsi="Helvetica Neue" w:cs="Helvetica"/>
          <w:sz w:val="22"/>
          <w:szCs w:val="22"/>
          <w:lang w:val="en-US"/>
        </w:rPr>
        <w:t>s</w:t>
      </w:r>
      <w:r w:rsidR="0006477B">
        <w:rPr>
          <w:rFonts w:ascii="Helvetica Neue" w:hAnsi="Helvetica Neue" w:cs="Helvetica"/>
          <w:sz w:val="22"/>
          <w:szCs w:val="22"/>
          <w:lang w:val="en-US"/>
        </w:rPr>
        <w:t xml:space="preserve"> drawn by international treaties and law.</w:t>
      </w:r>
      <w:r w:rsidR="009941DB">
        <w:rPr>
          <w:rFonts w:ascii="Helvetica Neue" w:hAnsi="Helvetica Neue" w:cs="Helvetica"/>
          <w:sz w:val="22"/>
          <w:szCs w:val="22"/>
          <w:lang w:val="en-US"/>
        </w:rPr>
        <w:t>“</w:t>
      </w:r>
    </w:p>
    <w:p w14:paraId="400AE465" w14:textId="77777777" w:rsidR="00C427C7" w:rsidRPr="00C427C7" w:rsidRDefault="00C427C7" w:rsidP="00ED7808">
      <w:pPr>
        <w:pStyle w:val="ListParagraph"/>
        <w:widowControl w:val="0"/>
        <w:autoSpaceDE w:val="0"/>
        <w:autoSpaceDN w:val="0"/>
        <w:adjustRightInd w:val="0"/>
        <w:ind w:left="0"/>
        <w:jc w:val="both"/>
        <w:rPr>
          <w:rFonts w:ascii="Helvetica Neue" w:hAnsi="Helvetica Neue" w:cs="Helvetica"/>
          <w:sz w:val="22"/>
          <w:szCs w:val="22"/>
          <w:lang w:val="en-US"/>
        </w:rPr>
      </w:pPr>
    </w:p>
    <w:p w14:paraId="7CE8BFBE" w14:textId="77777777" w:rsidR="00F515F6" w:rsidRPr="00F515F6" w:rsidRDefault="00F515F6" w:rsidP="00ED7808">
      <w:pPr>
        <w:keepNext/>
        <w:jc w:val="both"/>
        <w:rPr>
          <w:rFonts w:ascii="Helvetica Neue" w:hAnsi="Helvetica Neue"/>
          <w:b/>
          <w:sz w:val="22"/>
          <w:szCs w:val="22"/>
          <w:lang w:val="en-US"/>
        </w:rPr>
      </w:pPr>
      <w:r w:rsidRPr="00F515F6">
        <w:rPr>
          <w:rFonts w:ascii="Helvetica Neue" w:hAnsi="Helvetica Neue"/>
          <w:b/>
          <w:sz w:val="22"/>
          <w:szCs w:val="22"/>
          <w:lang w:val="en-US"/>
        </w:rPr>
        <w:t xml:space="preserve">Why </w:t>
      </w:r>
      <w:r w:rsidR="00C34BBB">
        <w:rPr>
          <w:rFonts w:ascii="Helvetica Neue" w:hAnsi="Helvetica Neue"/>
          <w:b/>
          <w:sz w:val="22"/>
          <w:szCs w:val="22"/>
          <w:lang w:val="en-US"/>
        </w:rPr>
        <w:t xml:space="preserve">sections 18C and 18D of the </w:t>
      </w:r>
      <w:r w:rsidRPr="00F515F6">
        <w:rPr>
          <w:rFonts w:ascii="Helvetica Neue" w:hAnsi="Helvetica Neue"/>
          <w:b/>
          <w:sz w:val="22"/>
          <w:szCs w:val="22"/>
          <w:lang w:val="en-US"/>
        </w:rPr>
        <w:t xml:space="preserve">RDA </w:t>
      </w:r>
      <w:r w:rsidR="00C34BBB">
        <w:rPr>
          <w:rFonts w:ascii="Helvetica Neue" w:hAnsi="Helvetica Neue"/>
          <w:b/>
          <w:sz w:val="22"/>
          <w:szCs w:val="22"/>
          <w:lang w:val="en-US"/>
        </w:rPr>
        <w:t>are</w:t>
      </w:r>
      <w:r w:rsidRPr="00F515F6">
        <w:rPr>
          <w:rFonts w:ascii="Helvetica Neue" w:hAnsi="Helvetica Neue"/>
          <w:b/>
          <w:sz w:val="22"/>
          <w:szCs w:val="22"/>
          <w:lang w:val="en-US"/>
        </w:rPr>
        <w:t xml:space="preserve"> so important for Australia</w:t>
      </w:r>
    </w:p>
    <w:p w14:paraId="0810E00D" w14:textId="77777777" w:rsidR="00F515F6" w:rsidRDefault="00F515F6" w:rsidP="00ED7808">
      <w:pPr>
        <w:keepNext/>
        <w:jc w:val="both"/>
        <w:rPr>
          <w:rFonts w:ascii="Helvetica Neue" w:hAnsi="Helvetica Neue"/>
          <w:sz w:val="22"/>
          <w:szCs w:val="22"/>
          <w:lang w:val="en-US"/>
        </w:rPr>
      </w:pPr>
    </w:p>
    <w:p w14:paraId="0A70084D" w14:textId="77777777" w:rsidR="00693047" w:rsidRPr="005170C9" w:rsidRDefault="001C69A2" w:rsidP="00ED7808">
      <w:pPr>
        <w:jc w:val="both"/>
        <w:rPr>
          <w:rFonts w:ascii="Helvetica Neue" w:hAnsi="Helvetica Neue"/>
          <w:sz w:val="22"/>
          <w:szCs w:val="22"/>
          <w:lang w:val="en-US"/>
        </w:rPr>
      </w:pPr>
      <w:r w:rsidRPr="005170C9">
        <w:rPr>
          <w:rFonts w:ascii="Helvetica Neue" w:hAnsi="Helvetica Neue"/>
          <w:sz w:val="22"/>
          <w:szCs w:val="22"/>
          <w:lang w:val="en-US"/>
        </w:rPr>
        <w:t>“Respect for the equal dignity of all human beings constitutes the foundations of a democratic, pluralistic society</w:t>
      </w:r>
      <w:r w:rsidR="00693047" w:rsidRPr="005170C9">
        <w:rPr>
          <w:rFonts w:ascii="Helvetica Neue" w:hAnsi="Helvetica Neue"/>
          <w:sz w:val="22"/>
          <w:szCs w:val="22"/>
          <w:lang w:val="en-US"/>
        </w:rPr>
        <w:t>,</w:t>
      </w:r>
      <w:r w:rsidRPr="005170C9">
        <w:rPr>
          <w:rFonts w:ascii="Helvetica Neue" w:hAnsi="Helvetica Neue"/>
          <w:sz w:val="22"/>
          <w:szCs w:val="22"/>
          <w:lang w:val="en-US"/>
        </w:rPr>
        <w:t>”</w:t>
      </w:r>
      <w:r w:rsidR="00693047" w:rsidRPr="005170C9">
        <w:rPr>
          <w:rFonts w:ascii="Helvetica Neue" w:hAnsi="Helvetica Neue"/>
          <w:sz w:val="22"/>
          <w:szCs w:val="22"/>
          <w:lang w:val="en-US"/>
        </w:rPr>
        <w:t xml:space="preserve"> says ALHR President Benedict Coyne.</w:t>
      </w:r>
    </w:p>
    <w:p w14:paraId="06FB2095" w14:textId="77777777" w:rsidR="00693047" w:rsidRPr="005170C9" w:rsidRDefault="00693047" w:rsidP="00ED7808">
      <w:pPr>
        <w:jc w:val="both"/>
        <w:rPr>
          <w:rFonts w:ascii="Helvetica Neue" w:hAnsi="Helvetica Neue"/>
          <w:sz w:val="22"/>
          <w:szCs w:val="22"/>
          <w:lang w:val="en-US"/>
        </w:rPr>
      </w:pPr>
    </w:p>
    <w:p w14:paraId="6B1DA6DA" w14:textId="77777777" w:rsidR="00F67E87" w:rsidRPr="005170C9" w:rsidRDefault="00851AAC" w:rsidP="00ED7808">
      <w:pPr>
        <w:jc w:val="both"/>
        <w:rPr>
          <w:rFonts w:ascii="Helvetica Neue" w:hAnsi="Helvetica Neue"/>
          <w:iCs/>
          <w:sz w:val="22"/>
          <w:szCs w:val="22"/>
          <w:lang w:val="en-US"/>
        </w:rPr>
      </w:pPr>
      <w:r w:rsidRPr="005170C9">
        <w:rPr>
          <w:rFonts w:ascii="Helvetica Neue" w:hAnsi="Helvetica Neue"/>
          <w:sz w:val="22"/>
          <w:szCs w:val="22"/>
          <w:lang w:val="en-US"/>
        </w:rPr>
        <w:t>“</w:t>
      </w:r>
      <w:r w:rsidR="00693047" w:rsidRPr="005170C9">
        <w:rPr>
          <w:rFonts w:ascii="Helvetica Neue" w:hAnsi="Helvetica Neue"/>
          <w:sz w:val="22"/>
          <w:szCs w:val="22"/>
          <w:lang w:val="en-US"/>
        </w:rPr>
        <w:t>I</w:t>
      </w:r>
      <w:r w:rsidR="001C69A2" w:rsidRPr="005170C9">
        <w:rPr>
          <w:rFonts w:ascii="Helvetica Neue" w:hAnsi="Helvetica Neue"/>
          <w:sz w:val="22"/>
          <w:szCs w:val="22"/>
          <w:lang w:val="en-US"/>
        </w:rPr>
        <w:t xml:space="preserve">t may be necessary in </w:t>
      </w:r>
      <w:r w:rsidR="001C69A2" w:rsidRPr="005170C9">
        <w:rPr>
          <w:rFonts w:ascii="Helvetica Neue" w:hAnsi="Helvetica Neue"/>
          <w:iCs/>
          <w:sz w:val="22"/>
          <w:szCs w:val="22"/>
          <w:lang w:val="en-US"/>
        </w:rPr>
        <w:t xml:space="preserve">democratic societies to </w:t>
      </w:r>
      <w:r w:rsidR="00D01BA8">
        <w:rPr>
          <w:rFonts w:ascii="Helvetica Neue" w:hAnsi="Helvetica Neue"/>
          <w:iCs/>
          <w:sz w:val="22"/>
          <w:szCs w:val="22"/>
          <w:lang w:val="en-US"/>
        </w:rPr>
        <w:t>restrict</w:t>
      </w:r>
      <w:r w:rsidR="001C69A2" w:rsidRPr="005170C9">
        <w:rPr>
          <w:rFonts w:ascii="Helvetica Neue" w:hAnsi="Helvetica Neue"/>
          <w:iCs/>
          <w:sz w:val="22"/>
          <w:szCs w:val="22"/>
          <w:lang w:val="en-US"/>
        </w:rPr>
        <w:t xml:space="preserve"> forms of expression which spread, incite, promote or justify hatred based on intolerance</w:t>
      </w:r>
      <w:r w:rsidR="00693047" w:rsidRPr="005170C9">
        <w:rPr>
          <w:rFonts w:ascii="Helvetica Neue" w:hAnsi="Helvetica Neue"/>
          <w:iCs/>
          <w:sz w:val="22"/>
          <w:szCs w:val="22"/>
          <w:lang w:val="en-US"/>
        </w:rPr>
        <w:t>.</w:t>
      </w:r>
      <w:r w:rsidR="002349E7">
        <w:rPr>
          <w:rFonts w:ascii="Helvetica Neue" w:hAnsi="Helvetica Neue"/>
          <w:iCs/>
          <w:sz w:val="22"/>
          <w:szCs w:val="22"/>
          <w:lang w:val="en-US"/>
        </w:rPr>
        <w:t xml:space="preserve">  Sections 18C and 18D of the RDA achieve this.</w:t>
      </w:r>
      <w:r w:rsidR="00693047" w:rsidRPr="005170C9">
        <w:rPr>
          <w:rFonts w:ascii="Helvetica Neue" w:hAnsi="Helvetica Neue"/>
          <w:iCs/>
          <w:sz w:val="22"/>
          <w:szCs w:val="22"/>
          <w:lang w:val="en-US"/>
        </w:rPr>
        <w:t>”</w:t>
      </w:r>
    </w:p>
    <w:p w14:paraId="6B96F845" w14:textId="77777777" w:rsidR="00693047" w:rsidRPr="005170C9" w:rsidRDefault="00693047" w:rsidP="00ED7808">
      <w:pPr>
        <w:jc w:val="both"/>
        <w:rPr>
          <w:rFonts w:ascii="Helvetica Neue" w:hAnsi="Helvetica Neue"/>
          <w:iCs/>
          <w:sz w:val="22"/>
          <w:szCs w:val="22"/>
          <w:lang w:val="en-US"/>
        </w:rPr>
      </w:pPr>
    </w:p>
    <w:p w14:paraId="19BF71AB" w14:textId="77777777" w:rsidR="00693047" w:rsidRPr="005170C9" w:rsidRDefault="00693047" w:rsidP="00ED7808">
      <w:pPr>
        <w:widowControl w:val="0"/>
        <w:autoSpaceDE w:val="0"/>
        <w:autoSpaceDN w:val="0"/>
        <w:adjustRightInd w:val="0"/>
        <w:jc w:val="both"/>
        <w:rPr>
          <w:rFonts w:ascii="Helvetica Neue" w:hAnsi="Helvetica Neue" w:cs="Helvetica"/>
          <w:sz w:val="22"/>
          <w:szCs w:val="22"/>
          <w:lang w:val="en-US"/>
        </w:rPr>
      </w:pPr>
      <w:r w:rsidRPr="005170C9">
        <w:rPr>
          <w:rFonts w:ascii="Helvetica Neue" w:hAnsi="Helvetica Neue" w:cs="Helvetica"/>
          <w:sz w:val="22"/>
          <w:szCs w:val="22"/>
          <w:lang w:val="en-US"/>
        </w:rPr>
        <w:t>“</w:t>
      </w:r>
      <w:r w:rsidR="002349E7">
        <w:rPr>
          <w:rFonts w:ascii="Helvetica Neue" w:hAnsi="Helvetica Neue" w:cs="Helvetica"/>
          <w:sz w:val="22"/>
          <w:szCs w:val="22"/>
          <w:lang w:val="en-US"/>
        </w:rPr>
        <w:t>In limiting a narrow range of harmful speech, the RDA accords</w:t>
      </w:r>
      <w:r w:rsidRPr="005170C9">
        <w:rPr>
          <w:rFonts w:ascii="Helvetica Neue" w:hAnsi="Helvetica Neue" w:cs="Helvetica"/>
          <w:sz w:val="22"/>
          <w:szCs w:val="22"/>
          <w:lang w:val="en-US"/>
        </w:rPr>
        <w:t xml:space="preserve"> with the famous quote by Benjamin Franklin from nearly three centuries ago</w:t>
      </w:r>
      <w:r w:rsidR="009941DB">
        <w:rPr>
          <w:rFonts w:ascii="Helvetica Neue" w:hAnsi="Helvetica Neue" w:cs="Helvetica"/>
          <w:sz w:val="22"/>
          <w:szCs w:val="22"/>
          <w:lang w:val="en-US"/>
        </w:rPr>
        <w:t xml:space="preserve">, quoted by </w:t>
      </w:r>
      <w:r w:rsidR="009941DB" w:rsidRPr="005170C9">
        <w:rPr>
          <w:rFonts w:ascii="Helvetica Neue" w:hAnsi="Helvetica Neue" w:cs="Helvetica"/>
          <w:sz w:val="22"/>
          <w:szCs w:val="22"/>
          <w:lang w:val="en-US"/>
        </w:rPr>
        <w:t xml:space="preserve">Justice Bromberg in the </w:t>
      </w:r>
      <w:proofErr w:type="spellStart"/>
      <w:r w:rsidR="009941DB" w:rsidRPr="005170C9">
        <w:rPr>
          <w:rFonts w:ascii="Helvetica Neue" w:hAnsi="Helvetica Neue" w:cs="Helvetica"/>
          <w:i/>
          <w:iCs/>
          <w:sz w:val="22"/>
          <w:szCs w:val="22"/>
          <w:lang w:val="en-US"/>
        </w:rPr>
        <w:t>Eatock</w:t>
      </w:r>
      <w:proofErr w:type="spellEnd"/>
      <w:r w:rsidR="009941DB" w:rsidRPr="005170C9">
        <w:rPr>
          <w:rFonts w:ascii="Helvetica Neue" w:hAnsi="Helvetica Neue" w:cs="Helvetica"/>
          <w:i/>
          <w:iCs/>
          <w:sz w:val="22"/>
          <w:szCs w:val="22"/>
          <w:lang w:val="en-US"/>
        </w:rPr>
        <w:t xml:space="preserve"> v Bolt</w:t>
      </w:r>
      <w:r w:rsidR="009941DB">
        <w:rPr>
          <w:rFonts w:ascii="Helvetica Neue" w:hAnsi="Helvetica Neue" w:cs="Helvetica"/>
          <w:sz w:val="22"/>
          <w:szCs w:val="22"/>
          <w:lang w:val="en-US"/>
        </w:rPr>
        <w:t xml:space="preserve"> judgment, </w:t>
      </w:r>
      <w:r w:rsidRPr="005170C9">
        <w:rPr>
          <w:rFonts w:ascii="Helvetica Neue" w:hAnsi="Helvetica Neue" w:cs="Helvetica"/>
          <w:sz w:val="22"/>
          <w:szCs w:val="22"/>
          <w:lang w:val="en-US"/>
        </w:rPr>
        <w:t xml:space="preserve">establishing that the right to freedom of speech </w:t>
      </w:r>
      <w:r w:rsidR="0091782C">
        <w:rPr>
          <w:rFonts w:ascii="Helvetica Neue" w:hAnsi="Helvetica Neue" w:cs="Helvetica"/>
          <w:sz w:val="22"/>
          <w:szCs w:val="22"/>
          <w:lang w:val="en-US"/>
        </w:rPr>
        <w:t>can only ever be</w:t>
      </w:r>
      <w:r w:rsidRPr="005170C9">
        <w:rPr>
          <w:rFonts w:ascii="Helvetica Neue" w:hAnsi="Helvetica Neue" w:cs="Helvetica"/>
          <w:sz w:val="22"/>
          <w:szCs w:val="22"/>
          <w:lang w:val="en-US"/>
        </w:rPr>
        <w:t xml:space="preserve"> a qualified right: </w:t>
      </w:r>
    </w:p>
    <w:p w14:paraId="607877AC" w14:textId="77777777" w:rsidR="00693047" w:rsidRPr="005170C9" w:rsidRDefault="00693047" w:rsidP="00ED7808">
      <w:pPr>
        <w:widowControl w:val="0"/>
        <w:autoSpaceDE w:val="0"/>
        <w:autoSpaceDN w:val="0"/>
        <w:adjustRightInd w:val="0"/>
        <w:jc w:val="both"/>
        <w:rPr>
          <w:rFonts w:ascii="Helvetica Neue" w:hAnsi="Helvetica Neue" w:cs="Helvetica"/>
          <w:sz w:val="22"/>
          <w:szCs w:val="22"/>
          <w:lang w:val="en-US"/>
        </w:rPr>
      </w:pPr>
    </w:p>
    <w:p w14:paraId="0893F76D" w14:textId="325E33D9" w:rsidR="00693047" w:rsidRPr="005170C9" w:rsidRDefault="00693047" w:rsidP="00ED7808">
      <w:pPr>
        <w:widowControl w:val="0"/>
        <w:autoSpaceDE w:val="0"/>
        <w:autoSpaceDN w:val="0"/>
        <w:adjustRightInd w:val="0"/>
        <w:jc w:val="both"/>
        <w:rPr>
          <w:rFonts w:ascii="Helvetica Neue" w:hAnsi="Helvetica Neue" w:cs="Helvetica"/>
          <w:i/>
          <w:iCs/>
          <w:sz w:val="22"/>
          <w:szCs w:val="22"/>
          <w:lang w:val="en-US"/>
        </w:rPr>
      </w:pPr>
      <w:r w:rsidRPr="005170C9">
        <w:rPr>
          <w:rFonts w:ascii="Helvetica Neue" w:hAnsi="Helvetica Neue" w:cs="Helvetica"/>
          <w:i/>
          <w:iCs/>
          <w:sz w:val="22"/>
          <w:szCs w:val="22"/>
          <w:lang w:val="en-US"/>
        </w:rPr>
        <w:t xml:space="preserve">WITHOUT Freedom of Thought, </w:t>
      </w:r>
      <w:r w:rsidR="003F38B0">
        <w:rPr>
          <w:rFonts w:ascii="Helvetica Neue" w:hAnsi="Helvetica Neue" w:cs="Helvetica"/>
          <w:i/>
          <w:iCs/>
          <w:sz w:val="22"/>
          <w:szCs w:val="22"/>
          <w:lang w:val="en-US"/>
        </w:rPr>
        <w:t>t</w:t>
      </w:r>
      <w:r w:rsidRPr="005170C9">
        <w:rPr>
          <w:rFonts w:ascii="Helvetica Neue" w:hAnsi="Helvetica Neue" w:cs="Helvetica"/>
          <w:i/>
          <w:iCs/>
          <w:sz w:val="22"/>
          <w:szCs w:val="22"/>
          <w:lang w:val="en-US"/>
        </w:rPr>
        <w:t>here can be no such Thing as Wisdom; and no such Thing as public Liberty, without Freedom of Speech; which is the Right of every Man, as far as by it, he does not hurt or control the Right of another.</w:t>
      </w:r>
    </w:p>
    <w:p w14:paraId="00967B14" w14:textId="77777777" w:rsidR="00ED7808" w:rsidRPr="00ED7808" w:rsidRDefault="00ED7808" w:rsidP="00ED7808">
      <w:pPr>
        <w:widowControl w:val="0"/>
        <w:autoSpaceDE w:val="0"/>
        <w:autoSpaceDN w:val="0"/>
        <w:adjustRightInd w:val="0"/>
        <w:jc w:val="both"/>
        <w:rPr>
          <w:rFonts w:ascii="Arial" w:hAnsi="Arial" w:cs="Arial"/>
          <w:sz w:val="28"/>
          <w:szCs w:val="28"/>
          <w:lang w:val="en-US"/>
        </w:rPr>
      </w:pPr>
    </w:p>
    <w:p w14:paraId="029BD843" w14:textId="117BC6B6" w:rsidR="00693047" w:rsidRPr="00ED7808" w:rsidRDefault="00ED7808" w:rsidP="000966BC">
      <w:pPr>
        <w:widowControl w:val="0"/>
        <w:autoSpaceDE w:val="0"/>
        <w:autoSpaceDN w:val="0"/>
        <w:adjustRightInd w:val="0"/>
        <w:jc w:val="both"/>
        <w:rPr>
          <w:rFonts w:ascii="Arial" w:hAnsi="Arial" w:cs="Arial"/>
          <w:sz w:val="28"/>
          <w:szCs w:val="28"/>
          <w:lang w:val="en-US"/>
        </w:rPr>
      </w:pPr>
      <w:r w:rsidRPr="00ED7808">
        <w:rPr>
          <w:rFonts w:ascii="Arial" w:hAnsi="Arial" w:cs="Arial"/>
          <w:b/>
          <w:bCs/>
          <w:sz w:val="28"/>
          <w:szCs w:val="28"/>
          <w:lang w:val="en-US"/>
        </w:rPr>
        <w:t>Contact:</w:t>
      </w:r>
      <w:r w:rsidRPr="00ED7808">
        <w:rPr>
          <w:rFonts w:ascii="Arial" w:hAnsi="Arial" w:cs="Arial"/>
          <w:b/>
          <w:bCs/>
          <w:color w:val="1D1D1D"/>
          <w:sz w:val="28"/>
          <w:szCs w:val="28"/>
          <w:lang w:val="en-US"/>
        </w:rPr>
        <w:t xml:space="preserve"> Matt Mitchell on 0431 980 365 or </w:t>
      </w:r>
      <w:hyperlink r:id="rId10" w:history="1">
        <w:r w:rsidRPr="00ED7808">
          <w:rPr>
            <w:rFonts w:ascii="Arial" w:hAnsi="Arial" w:cs="Arial"/>
            <w:b/>
            <w:bCs/>
            <w:color w:val="0000E9"/>
            <w:sz w:val="28"/>
            <w:szCs w:val="28"/>
            <w:u w:val="single" w:color="0000E9"/>
            <w:lang w:val="en-US"/>
          </w:rPr>
          <w:t>media@alhr.org.au</w:t>
        </w:r>
      </w:hyperlink>
    </w:p>
    <w:sectPr w:rsidR="00693047" w:rsidRPr="00ED7808" w:rsidSect="00ED7808">
      <w:headerReference w:type="even" r:id="rId11"/>
      <w:headerReference w:type="default" r:id="rId12"/>
      <w:footerReference w:type="even" r:id="rId13"/>
      <w:footerReference w:type="default" r:id="rId14"/>
      <w:headerReference w:type="first" r:id="rId15"/>
      <w:footerReference w:type="first" r:id="rId16"/>
      <w:pgSz w:w="11900" w:h="16840"/>
      <w:pgMar w:top="1440" w:right="112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B077" w14:textId="77777777" w:rsidR="006B14A6" w:rsidRDefault="006B14A6" w:rsidP="00F67E87">
      <w:r>
        <w:separator/>
      </w:r>
    </w:p>
  </w:endnote>
  <w:endnote w:type="continuationSeparator" w:id="0">
    <w:p w14:paraId="533870A7" w14:textId="77777777" w:rsidR="006B14A6" w:rsidRDefault="006B14A6" w:rsidP="00F6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757D" w14:textId="77777777" w:rsidR="001A500B" w:rsidRDefault="001A5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4BE9" w14:textId="762108A4" w:rsidR="001A500B" w:rsidRPr="001A500B" w:rsidRDefault="001A500B">
    <w:pPr>
      <w:pStyle w:val="Footer"/>
      <w:rPr>
        <w:i/>
        <w:sz w:val="20"/>
        <w:szCs w:val="20"/>
      </w:rPr>
    </w:pPr>
    <w:r w:rsidRPr="001A500B">
      <w:rPr>
        <w:rFonts w:ascii="Helvetica Neue" w:hAnsi="Helvetica Neue" w:cs="Helvetica Neue"/>
        <w:i/>
        <w:color w:val="262626"/>
        <w:sz w:val="20"/>
        <w:szCs w:val="20"/>
        <w:lang w:val="en-US"/>
      </w:rPr>
      <w:t>The commentary above provides only a summary and general overview of the issues. It is not intended to be comprehensive or constitute legal advice.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CF03" w14:textId="77777777" w:rsidR="001A500B" w:rsidRDefault="001A5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B7447" w14:textId="77777777" w:rsidR="006B14A6" w:rsidRDefault="006B14A6" w:rsidP="00F67E87">
      <w:r>
        <w:separator/>
      </w:r>
    </w:p>
  </w:footnote>
  <w:footnote w:type="continuationSeparator" w:id="0">
    <w:p w14:paraId="4F76563E" w14:textId="77777777" w:rsidR="006B14A6" w:rsidRDefault="006B14A6" w:rsidP="00F67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4AB4" w14:textId="77777777" w:rsidR="001A500B" w:rsidRDefault="001A50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28288827" w14:textId="77777777" w:rsidR="00393112" w:rsidRPr="001A500B" w:rsidRDefault="00393112" w:rsidP="00E01C13">
    <w:pPr>
      <w:pStyle w:val="Header"/>
      <w:jc w:val="center"/>
      <w:rPr>
        <w:rFonts w:ascii="Calibri" w:hAnsi="Calibri"/>
        <w:sz w:val="22"/>
        <w:szCs w:val="22"/>
      </w:rPr>
    </w:pPr>
    <w:r w:rsidRPr="001A500B">
      <w:rPr>
        <w:rStyle w:val="PageNumber"/>
        <w:rFonts w:ascii="Calibri" w:hAnsi="Calibri"/>
        <w:sz w:val="22"/>
        <w:szCs w:val="22"/>
      </w:rPr>
      <w:fldChar w:fldCharType="begin"/>
    </w:r>
    <w:r w:rsidRPr="001A500B">
      <w:rPr>
        <w:rStyle w:val="PageNumber"/>
        <w:rFonts w:ascii="Calibri" w:hAnsi="Calibri"/>
        <w:sz w:val="22"/>
        <w:szCs w:val="22"/>
      </w:rPr>
      <w:instrText xml:space="preserve"> PAGE </w:instrText>
    </w:r>
    <w:r w:rsidRPr="001A500B">
      <w:rPr>
        <w:rStyle w:val="PageNumber"/>
        <w:rFonts w:ascii="Calibri" w:hAnsi="Calibri"/>
        <w:sz w:val="22"/>
        <w:szCs w:val="22"/>
      </w:rPr>
      <w:fldChar w:fldCharType="separate"/>
    </w:r>
    <w:r w:rsidR="001A500B">
      <w:rPr>
        <w:rStyle w:val="PageNumber"/>
        <w:rFonts w:ascii="Calibri" w:hAnsi="Calibri"/>
        <w:noProof/>
        <w:sz w:val="22"/>
        <w:szCs w:val="22"/>
      </w:rPr>
      <w:t>2</w:t>
    </w:r>
    <w:r w:rsidRPr="001A500B">
      <w:rPr>
        <w:rStyle w:val="PageNumber"/>
        <w:rFonts w:ascii="Calibri" w:hAnsi="Calibri"/>
        <w:sz w:val="22"/>
        <w:szCs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10DC" w14:textId="77777777" w:rsidR="001A500B" w:rsidRDefault="001A50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FCC"/>
    <w:multiLevelType w:val="multilevel"/>
    <w:tmpl w:val="80D4E5A8"/>
    <w:styleLink w:val="List41"/>
    <w:lvl w:ilvl="0">
      <w:numFmt w:val="bullet"/>
      <w:lvlText w:val="•"/>
      <w:lvlJc w:val="left"/>
      <w:rPr>
        <w:rFonts w:ascii="Arial" w:eastAsia="Arial" w:hAnsi="Arial" w:cs="Arial"/>
        <w:position w:val="0"/>
        <w:u w:color="0226CB"/>
      </w:rPr>
    </w:lvl>
    <w:lvl w:ilvl="1">
      <w:start w:val="1"/>
      <w:numFmt w:val="bullet"/>
      <w:lvlText w:val="o"/>
      <w:lvlJc w:val="left"/>
      <w:rPr>
        <w:rFonts w:ascii="Arial" w:eastAsia="Arial" w:hAnsi="Arial" w:cs="Arial"/>
        <w:position w:val="0"/>
        <w:u w:color="0226CB"/>
      </w:rPr>
    </w:lvl>
    <w:lvl w:ilvl="2">
      <w:start w:val="1"/>
      <w:numFmt w:val="bullet"/>
      <w:lvlText w:val="▪"/>
      <w:lvlJc w:val="left"/>
      <w:rPr>
        <w:rFonts w:ascii="Arial" w:eastAsia="Arial" w:hAnsi="Arial" w:cs="Arial"/>
        <w:position w:val="0"/>
        <w:u w:color="0226CB"/>
      </w:rPr>
    </w:lvl>
    <w:lvl w:ilvl="3">
      <w:start w:val="1"/>
      <w:numFmt w:val="bullet"/>
      <w:lvlText w:val="•"/>
      <w:lvlJc w:val="left"/>
      <w:rPr>
        <w:rFonts w:ascii="Arial" w:eastAsia="Arial" w:hAnsi="Arial" w:cs="Arial"/>
        <w:position w:val="0"/>
        <w:u w:color="0226CB"/>
      </w:rPr>
    </w:lvl>
    <w:lvl w:ilvl="4">
      <w:start w:val="1"/>
      <w:numFmt w:val="bullet"/>
      <w:lvlText w:val="o"/>
      <w:lvlJc w:val="left"/>
      <w:rPr>
        <w:rFonts w:ascii="Arial" w:eastAsia="Arial" w:hAnsi="Arial" w:cs="Arial"/>
        <w:position w:val="0"/>
        <w:u w:color="0226CB"/>
      </w:rPr>
    </w:lvl>
    <w:lvl w:ilvl="5">
      <w:start w:val="1"/>
      <w:numFmt w:val="bullet"/>
      <w:lvlText w:val="▪"/>
      <w:lvlJc w:val="left"/>
      <w:rPr>
        <w:rFonts w:ascii="Arial" w:eastAsia="Arial" w:hAnsi="Arial" w:cs="Arial"/>
        <w:position w:val="0"/>
        <w:u w:color="0226CB"/>
      </w:rPr>
    </w:lvl>
    <w:lvl w:ilvl="6">
      <w:start w:val="1"/>
      <w:numFmt w:val="bullet"/>
      <w:lvlText w:val="•"/>
      <w:lvlJc w:val="left"/>
      <w:rPr>
        <w:rFonts w:ascii="Arial" w:eastAsia="Arial" w:hAnsi="Arial" w:cs="Arial"/>
        <w:position w:val="0"/>
        <w:u w:color="0226CB"/>
      </w:rPr>
    </w:lvl>
    <w:lvl w:ilvl="7">
      <w:start w:val="1"/>
      <w:numFmt w:val="bullet"/>
      <w:lvlText w:val="o"/>
      <w:lvlJc w:val="left"/>
      <w:rPr>
        <w:rFonts w:ascii="Arial" w:eastAsia="Arial" w:hAnsi="Arial" w:cs="Arial"/>
        <w:position w:val="0"/>
        <w:u w:color="0226CB"/>
      </w:rPr>
    </w:lvl>
    <w:lvl w:ilvl="8">
      <w:start w:val="1"/>
      <w:numFmt w:val="bullet"/>
      <w:lvlText w:val="▪"/>
      <w:lvlJc w:val="left"/>
      <w:rPr>
        <w:rFonts w:ascii="Arial" w:eastAsia="Arial" w:hAnsi="Arial" w:cs="Arial"/>
        <w:position w:val="0"/>
        <w:u w:color="0226CB"/>
      </w:rPr>
    </w:lvl>
  </w:abstractNum>
  <w:abstractNum w:abstractNumId="1">
    <w:nsid w:val="297C3861"/>
    <w:multiLevelType w:val="multilevel"/>
    <w:tmpl w:val="435CA288"/>
    <w:styleLink w:val="List31"/>
    <w:lvl w:ilvl="0">
      <w:numFmt w:val="bullet"/>
      <w:lvlText w:val="•"/>
      <w:lvlJc w:val="left"/>
      <w:rPr>
        <w:rFonts w:ascii="Arial" w:eastAsia="Arial" w:hAnsi="Arial" w:cs="Arial"/>
        <w:position w:val="0"/>
        <w:u w:color="0226CB"/>
      </w:rPr>
    </w:lvl>
    <w:lvl w:ilvl="1">
      <w:start w:val="1"/>
      <w:numFmt w:val="bullet"/>
      <w:lvlText w:val="o"/>
      <w:lvlJc w:val="left"/>
      <w:rPr>
        <w:rFonts w:ascii="Arial" w:eastAsia="Arial" w:hAnsi="Arial" w:cs="Arial"/>
        <w:position w:val="0"/>
        <w:u w:color="0226CB"/>
      </w:rPr>
    </w:lvl>
    <w:lvl w:ilvl="2">
      <w:start w:val="1"/>
      <w:numFmt w:val="bullet"/>
      <w:lvlText w:val="▪"/>
      <w:lvlJc w:val="left"/>
      <w:rPr>
        <w:rFonts w:ascii="Arial" w:eastAsia="Arial" w:hAnsi="Arial" w:cs="Arial"/>
        <w:position w:val="0"/>
        <w:u w:color="0226CB"/>
      </w:rPr>
    </w:lvl>
    <w:lvl w:ilvl="3">
      <w:start w:val="1"/>
      <w:numFmt w:val="bullet"/>
      <w:lvlText w:val="•"/>
      <w:lvlJc w:val="left"/>
      <w:rPr>
        <w:rFonts w:ascii="Arial" w:eastAsia="Arial" w:hAnsi="Arial" w:cs="Arial"/>
        <w:position w:val="0"/>
        <w:u w:color="0226CB"/>
      </w:rPr>
    </w:lvl>
    <w:lvl w:ilvl="4">
      <w:start w:val="1"/>
      <w:numFmt w:val="bullet"/>
      <w:lvlText w:val="o"/>
      <w:lvlJc w:val="left"/>
      <w:rPr>
        <w:rFonts w:ascii="Arial" w:eastAsia="Arial" w:hAnsi="Arial" w:cs="Arial"/>
        <w:position w:val="0"/>
        <w:u w:color="0226CB"/>
      </w:rPr>
    </w:lvl>
    <w:lvl w:ilvl="5">
      <w:start w:val="1"/>
      <w:numFmt w:val="bullet"/>
      <w:lvlText w:val="▪"/>
      <w:lvlJc w:val="left"/>
      <w:rPr>
        <w:rFonts w:ascii="Arial" w:eastAsia="Arial" w:hAnsi="Arial" w:cs="Arial"/>
        <w:position w:val="0"/>
        <w:u w:color="0226CB"/>
      </w:rPr>
    </w:lvl>
    <w:lvl w:ilvl="6">
      <w:start w:val="1"/>
      <w:numFmt w:val="bullet"/>
      <w:lvlText w:val="•"/>
      <w:lvlJc w:val="left"/>
      <w:rPr>
        <w:rFonts w:ascii="Arial" w:eastAsia="Arial" w:hAnsi="Arial" w:cs="Arial"/>
        <w:position w:val="0"/>
        <w:u w:color="0226CB"/>
      </w:rPr>
    </w:lvl>
    <w:lvl w:ilvl="7">
      <w:start w:val="1"/>
      <w:numFmt w:val="bullet"/>
      <w:lvlText w:val="o"/>
      <w:lvlJc w:val="left"/>
      <w:rPr>
        <w:rFonts w:ascii="Arial" w:eastAsia="Arial" w:hAnsi="Arial" w:cs="Arial"/>
        <w:position w:val="0"/>
        <w:u w:color="0226CB"/>
      </w:rPr>
    </w:lvl>
    <w:lvl w:ilvl="8">
      <w:start w:val="1"/>
      <w:numFmt w:val="bullet"/>
      <w:lvlText w:val="▪"/>
      <w:lvlJc w:val="left"/>
      <w:rPr>
        <w:rFonts w:ascii="Arial" w:eastAsia="Arial" w:hAnsi="Arial" w:cs="Arial"/>
        <w:position w:val="0"/>
        <w:u w:color="0226CB"/>
      </w:rPr>
    </w:lvl>
  </w:abstractNum>
  <w:abstractNum w:abstractNumId="2">
    <w:nsid w:val="379926E0"/>
    <w:multiLevelType w:val="hybridMultilevel"/>
    <w:tmpl w:val="37BA6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64D10"/>
    <w:multiLevelType w:val="hybridMultilevel"/>
    <w:tmpl w:val="373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E1FA4"/>
    <w:multiLevelType w:val="multilevel"/>
    <w:tmpl w:val="2B6AE7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C"/>
    <w:rsid w:val="000308DE"/>
    <w:rsid w:val="00062428"/>
    <w:rsid w:val="0006477B"/>
    <w:rsid w:val="000966BC"/>
    <w:rsid w:val="000D1322"/>
    <w:rsid w:val="000E64A1"/>
    <w:rsid w:val="0014777D"/>
    <w:rsid w:val="001952AD"/>
    <w:rsid w:val="001A305D"/>
    <w:rsid w:val="001A500B"/>
    <w:rsid w:val="001A5C33"/>
    <w:rsid w:val="001C69A2"/>
    <w:rsid w:val="001E053D"/>
    <w:rsid w:val="001E7866"/>
    <w:rsid w:val="00201873"/>
    <w:rsid w:val="002349E7"/>
    <w:rsid w:val="00283D8C"/>
    <w:rsid w:val="00290D35"/>
    <w:rsid w:val="002B7169"/>
    <w:rsid w:val="002C6B76"/>
    <w:rsid w:val="002E2A7D"/>
    <w:rsid w:val="003116BE"/>
    <w:rsid w:val="00377AE2"/>
    <w:rsid w:val="0039047A"/>
    <w:rsid w:val="003915F1"/>
    <w:rsid w:val="00393112"/>
    <w:rsid w:val="003B1C30"/>
    <w:rsid w:val="003F38B0"/>
    <w:rsid w:val="004103F3"/>
    <w:rsid w:val="00443418"/>
    <w:rsid w:val="004435EF"/>
    <w:rsid w:val="00443831"/>
    <w:rsid w:val="00451468"/>
    <w:rsid w:val="004679DA"/>
    <w:rsid w:val="004A0045"/>
    <w:rsid w:val="004E0903"/>
    <w:rsid w:val="004E3314"/>
    <w:rsid w:val="00513898"/>
    <w:rsid w:val="005170C9"/>
    <w:rsid w:val="00530F97"/>
    <w:rsid w:val="00537EE5"/>
    <w:rsid w:val="00593801"/>
    <w:rsid w:val="005959C1"/>
    <w:rsid w:val="00597994"/>
    <w:rsid w:val="005A7B48"/>
    <w:rsid w:val="005C09A9"/>
    <w:rsid w:val="005C4D3F"/>
    <w:rsid w:val="00610A90"/>
    <w:rsid w:val="00623F1A"/>
    <w:rsid w:val="00636E04"/>
    <w:rsid w:val="0066321E"/>
    <w:rsid w:val="006839F9"/>
    <w:rsid w:val="00687FA2"/>
    <w:rsid w:val="00693047"/>
    <w:rsid w:val="006B14A6"/>
    <w:rsid w:val="006C57B7"/>
    <w:rsid w:val="006E43DD"/>
    <w:rsid w:val="006F7393"/>
    <w:rsid w:val="00753173"/>
    <w:rsid w:val="0075326D"/>
    <w:rsid w:val="007731DD"/>
    <w:rsid w:val="0077611C"/>
    <w:rsid w:val="007877AB"/>
    <w:rsid w:val="00791E91"/>
    <w:rsid w:val="007A4B67"/>
    <w:rsid w:val="007B6BA6"/>
    <w:rsid w:val="007E2E3B"/>
    <w:rsid w:val="00851AAC"/>
    <w:rsid w:val="0091782C"/>
    <w:rsid w:val="00921A46"/>
    <w:rsid w:val="00937201"/>
    <w:rsid w:val="009941DB"/>
    <w:rsid w:val="009C3D33"/>
    <w:rsid w:val="009D7CBE"/>
    <w:rsid w:val="009E0291"/>
    <w:rsid w:val="00A23638"/>
    <w:rsid w:val="00A4543A"/>
    <w:rsid w:val="00A51554"/>
    <w:rsid w:val="00A66E29"/>
    <w:rsid w:val="00AA231F"/>
    <w:rsid w:val="00AB318B"/>
    <w:rsid w:val="00AE237B"/>
    <w:rsid w:val="00AE311B"/>
    <w:rsid w:val="00B72464"/>
    <w:rsid w:val="00B75797"/>
    <w:rsid w:val="00B900F5"/>
    <w:rsid w:val="00B97FFD"/>
    <w:rsid w:val="00BC0E8C"/>
    <w:rsid w:val="00BD00E6"/>
    <w:rsid w:val="00BE3787"/>
    <w:rsid w:val="00BF2EC0"/>
    <w:rsid w:val="00C22410"/>
    <w:rsid w:val="00C34BBB"/>
    <w:rsid w:val="00C427C7"/>
    <w:rsid w:val="00CB0B77"/>
    <w:rsid w:val="00CE71EA"/>
    <w:rsid w:val="00D01BA8"/>
    <w:rsid w:val="00D228EC"/>
    <w:rsid w:val="00D25F2E"/>
    <w:rsid w:val="00D31345"/>
    <w:rsid w:val="00D53CF9"/>
    <w:rsid w:val="00D576C5"/>
    <w:rsid w:val="00D77554"/>
    <w:rsid w:val="00D83C66"/>
    <w:rsid w:val="00DF2033"/>
    <w:rsid w:val="00DF2B84"/>
    <w:rsid w:val="00E01C13"/>
    <w:rsid w:val="00E201BF"/>
    <w:rsid w:val="00E32A13"/>
    <w:rsid w:val="00E92B4C"/>
    <w:rsid w:val="00ED7808"/>
    <w:rsid w:val="00F04A51"/>
    <w:rsid w:val="00F20E4A"/>
    <w:rsid w:val="00F41A2B"/>
    <w:rsid w:val="00F515F6"/>
    <w:rsid w:val="00F67E87"/>
    <w:rsid w:val="00F70086"/>
    <w:rsid w:val="00F70248"/>
    <w:rsid w:val="00FA7281"/>
    <w:rsid w:val="00FB2F80"/>
    <w:rsid w:val="00FB7F7C"/>
    <w:rsid w:val="00FF5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A7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66"/>
    <w:pPr>
      <w:ind w:left="720"/>
      <w:contextualSpacing/>
    </w:pPr>
  </w:style>
  <w:style w:type="paragraph" w:customStyle="1" w:styleId="Body">
    <w:name w:val="Body"/>
    <w:rsid w:val="00F67E87"/>
    <w:pPr>
      <w:pBdr>
        <w:top w:val="nil"/>
        <w:left w:val="nil"/>
        <w:bottom w:val="nil"/>
        <w:right w:val="nil"/>
        <w:between w:val="nil"/>
        <w:bar w:val="nil"/>
      </w:pBdr>
    </w:pPr>
    <w:rPr>
      <w:rFonts w:ascii="Lucida Grande" w:eastAsia="Arial Unicode MS" w:hAnsi="Arial Unicode MS" w:cs="Arial Unicode MS"/>
      <w:color w:val="000000"/>
      <w:sz w:val="22"/>
      <w:szCs w:val="22"/>
      <w:u w:color="000000"/>
      <w:bdr w:val="nil"/>
    </w:rPr>
  </w:style>
  <w:style w:type="paragraph" w:customStyle="1" w:styleId="BodyA">
    <w:name w:val="Body A"/>
    <w:rsid w:val="00F67E8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31">
    <w:name w:val="List 31"/>
    <w:basedOn w:val="NoList"/>
    <w:rsid w:val="00F67E87"/>
    <w:pPr>
      <w:numPr>
        <w:numId w:val="2"/>
      </w:numPr>
    </w:pPr>
  </w:style>
  <w:style w:type="numbering" w:customStyle="1" w:styleId="List41">
    <w:name w:val="List 41"/>
    <w:basedOn w:val="NoList"/>
    <w:rsid w:val="00F67E87"/>
    <w:pPr>
      <w:numPr>
        <w:numId w:val="3"/>
      </w:numPr>
    </w:pPr>
  </w:style>
  <w:style w:type="paragraph" w:styleId="FootnoteText">
    <w:name w:val="footnote text"/>
    <w:link w:val="FootnoteTextChar"/>
    <w:rsid w:val="001C69A2"/>
    <w:pPr>
      <w:pBdr>
        <w:top w:val="nil"/>
        <w:left w:val="nil"/>
        <w:bottom w:val="nil"/>
        <w:right w:val="nil"/>
        <w:between w:val="nil"/>
        <w:bar w:val="nil"/>
      </w:pBdr>
      <w:tabs>
        <w:tab w:val="left" w:pos="284"/>
      </w:tabs>
      <w:spacing w:before="60"/>
      <w:ind w:left="284" w:hanging="284"/>
    </w:pPr>
    <w:rPr>
      <w:rFonts w:ascii="Arial" w:eastAsia="Arial" w:hAnsi="Arial" w:cs="Arial"/>
      <w:color w:val="000000"/>
      <w:sz w:val="16"/>
      <w:szCs w:val="16"/>
      <w:u w:color="000000"/>
      <w:bdr w:val="nil"/>
      <w:lang w:val="en-US"/>
    </w:rPr>
  </w:style>
  <w:style w:type="character" w:customStyle="1" w:styleId="FootnoteTextChar">
    <w:name w:val="Footnote Text Char"/>
    <w:basedOn w:val="DefaultParagraphFont"/>
    <w:link w:val="FootnoteText"/>
    <w:rsid w:val="001C69A2"/>
    <w:rPr>
      <w:rFonts w:ascii="Arial" w:eastAsia="Arial" w:hAnsi="Arial" w:cs="Arial"/>
      <w:color w:val="000000"/>
      <w:sz w:val="16"/>
      <w:szCs w:val="16"/>
      <w:u w:color="000000"/>
      <w:bdr w:val="nil"/>
      <w:lang w:val="en-US"/>
    </w:rPr>
  </w:style>
  <w:style w:type="paragraph" w:styleId="BalloonText">
    <w:name w:val="Balloon Text"/>
    <w:basedOn w:val="Normal"/>
    <w:link w:val="BalloonTextChar"/>
    <w:uiPriority w:val="99"/>
    <w:semiHidden/>
    <w:unhideWhenUsed/>
    <w:rsid w:val="00623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F1A"/>
    <w:rPr>
      <w:rFonts w:ascii="Lucida Grande" w:hAnsi="Lucida Grande" w:cs="Lucida Grande"/>
      <w:sz w:val="18"/>
      <w:szCs w:val="18"/>
    </w:rPr>
  </w:style>
  <w:style w:type="paragraph" w:styleId="Header">
    <w:name w:val="header"/>
    <w:basedOn w:val="Normal"/>
    <w:link w:val="HeaderChar"/>
    <w:uiPriority w:val="99"/>
    <w:unhideWhenUsed/>
    <w:rsid w:val="00E01C13"/>
    <w:pPr>
      <w:tabs>
        <w:tab w:val="center" w:pos="4320"/>
        <w:tab w:val="right" w:pos="8640"/>
      </w:tabs>
    </w:pPr>
  </w:style>
  <w:style w:type="character" w:customStyle="1" w:styleId="HeaderChar">
    <w:name w:val="Header Char"/>
    <w:basedOn w:val="DefaultParagraphFont"/>
    <w:link w:val="Header"/>
    <w:uiPriority w:val="99"/>
    <w:rsid w:val="00E01C13"/>
  </w:style>
  <w:style w:type="paragraph" w:styleId="Footer">
    <w:name w:val="footer"/>
    <w:basedOn w:val="Normal"/>
    <w:link w:val="FooterChar"/>
    <w:uiPriority w:val="99"/>
    <w:unhideWhenUsed/>
    <w:rsid w:val="00E01C13"/>
    <w:pPr>
      <w:tabs>
        <w:tab w:val="center" w:pos="4320"/>
        <w:tab w:val="right" w:pos="8640"/>
      </w:tabs>
    </w:pPr>
  </w:style>
  <w:style w:type="character" w:customStyle="1" w:styleId="FooterChar">
    <w:name w:val="Footer Char"/>
    <w:basedOn w:val="DefaultParagraphFont"/>
    <w:link w:val="Footer"/>
    <w:uiPriority w:val="99"/>
    <w:rsid w:val="00E01C13"/>
  </w:style>
  <w:style w:type="character" w:styleId="PageNumber">
    <w:name w:val="page number"/>
    <w:basedOn w:val="DefaultParagraphFont"/>
    <w:uiPriority w:val="99"/>
    <w:semiHidden/>
    <w:unhideWhenUsed/>
    <w:rsid w:val="00E01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66"/>
    <w:pPr>
      <w:ind w:left="720"/>
      <w:contextualSpacing/>
    </w:pPr>
  </w:style>
  <w:style w:type="paragraph" w:customStyle="1" w:styleId="Body">
    <w:name w:val="Body"/>
    <w:rsid w:val="00F67E87"/>
    <w:pPr>
      <w:pBdr>
        <w:top w:val="nil"/>
        <w:left w:val="nil"/>
        <w:bottom w:val="nil"/>
        <w:right w:val="nil"/>
        <w:between w:val="nil"/>
        <w:bar w:val="nil"/>
      </w:pBdr>
    </w:pPr>
    <w:rPr>
      <w:rFonts w:ascii="Lucida Grande" w:eastAsia="Arial Unicode MS" w:hAnsi="Arial Unicode MS" w:cs="Arial Unicode MS"/>
      <w:color w:val="000000"/>
      <w:sz w:val="22"/>
      <w:szCs w:val="22"/>
      <w:u w:color="000000"/>
      <w:bdr w:val="nil"/>
    </w:rPr>
  </w:style>
  <w:style w:type="paragraph" w:customStyle="1" w:styleId="BodyA">
    <w:name w:val="Body A"/>
    <w:rsid w:val="00F67E8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31">
    <w:name w:val="List 31"/>
    <w:basedOn w:val="NoList"/>
    <w:rsid w:val="00F67E87"/>
    <w:pPr>
      <w:numPr>
        <w:numId w:val="2"/>
      </w:numPr>
    </w:pPr>
  </w:style>
  <w:style w:type="numbering" w:customStyle="1" w:styleId="List41">
    <w:name w:val="List 41"/>
    <w:basedOn w:val="NoList"/>
    <w:rsid w:val="00F67E87"/>
    <w:pPr>
      <w:numPr>
        <w:numId w:val="3"/>
      </w:numPr>
    </w:pPr>
  </w:style>
  <w:style w:type="paragraph" w:styleId="FootnoteText">
    <w:name w:val="footnote text"/>
    <w:link w:val="FootnoteTextChar"/>
    <w:rsid w:val="001C69A2"/>
    <w:pPr>
      <w:pBdr>
        <w:top w:val="nil"/>
        <w:left w:val="nil"/>
        <w:bottom w:val="nil"/>
        <w:right w:val="nil"/>
        <w:between w:val="nil"/>
        <w:bar w:val="nil"/>
      </w:pBdr>
      <w:tabs>
        <w:tab w:val="left" w:pos="284"/>
      </w:tabs>
      <w:spacing w:before="60"/>
      <w:ind w:left="284" w:hanging="284"/>
    </w:pPr>
    <w:rPr>
      <w:rFonts w:ascii="Arial" w:eastAsia="Arial" w:hAnsi="Arial" w:cs="Arial"/>
      <w:color w:val="000000"/>
      <w:sz w:val="16"/>
      <w:szCs w:val="16"/>
      <w:u w:color="000000"/>
      <w:bdr w:val="nil"/>
      <w:lang w:val="en-US"/>
    </w:rPr>
  </w:style>
  <w:style w:type="character" w:customStyle="1" w:styleId="FootnoteTextChar">
    <w:name w:val="Footnote Text Char"/>
    <w:basedOn w:val="DefaultParagraphFont"/>
    <w:link w:val="FootnoteText"/>
    <w:rsid w:val="001C69A2"/>
    <w:rPr>
      <w:rFonts w:ascii="Arial" w:eastAsia="Arial" w:hAnsi="Arial" w:cs="Arial"/>
      <w:color w:val="000000"/>
      <w:sz w:val="16"/>
      <w:szCs w:val="16"/>
      <w:u w:color="000000"/>
      <w:bdr w:val="nil"/>
      <w:lang w:val="en-US"/>
    </w:rPr>
  </w:style>
  <w:style w:type="paragraph" w:styleId="BalloonText">
    <w:name w:val="Balloon Text"/>
    <w:basedOn w:val="Normal"/>
    <w:link w:val="BalloonTextChar"/>
    <w:uiPriority w:val="99"/>
    <w:semiHidden/>
    <w:unhideWhenUsed/>
    <w:rsid w:val="00623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F1A"/>
    <w:rPr>
      <w:rFonts w:ascii="Lucida Grande" w:hAnsi="Lucida Grande" w:cs="Lucida Grande"/>
      <w:sz w:val="18"/>
      <w:szCs w:val="18"/>
    </w:rPr>
  </w:style>
  <w:style w:type="paragraph" w:styleId="Header">
    <w:name w:val="header"/>
    <w:basedOn w:val="Normal"/>
    <w:link w:val="HeaderChar"/>
    <w:uiPriority w:val="99"/>
    <w:unhideWhenUsed/>
    <w:rsid w:val="00E01C13"/>
    <w:pPr>
      <w:tabs>
        <w:tab w:val="center" w:pos="4320"/>
        <w:tab w:val="right" w:pos="8640"/>
      </w:tabs>
    </w:pPr>
  </w:style>
  <w:style w:type="character" w:customStyle="1" w:styleId="HeaderChar">
    <w:name w:val="Header Char"/>
    <w:basedOn w:val="DefaultParagraphFont"/>
    <w:link w:val="Header"/>
    <w:uiPriority w:val="99"/>
    <w:rsid w:val="00E01C13"/>
  </w:style>
  <w:style w:type="paragraph" w:styleId="Footer">
    <w:name w:val="footer"/>
    <w:basedOn w:val="Normal"/>
    <w:link w:val="FooterChar"/>
    <w:uiPriority w:val="99"/>
    <w:unhideWhenUsed/>
    <w:rsid w:val="00E01C13"/>
    <w:pPr>
      <w:tabs>
        <w:tab w:val="center" w:pos="4320"/>
        <w:tab w:val="right" w:pos="8640"/>
      </w:tabs>
    </w:pPr>
  </w:style>
  <w:style w:type="character" w:customStyle="1" w:styleId="FooterChar">
    <w:name w:val="Footer Char"/>
    <w:basedOn w:val="DefaultParagraphFont"/>
    <w:link w:val="Footer"/>
    <w:uiPriority w:val="99"/>
    <w:rsid w:val="00E01C13"/>
  </w:style>
  <w:style w:type="character" w:styleId="PageNumber">
    <w:name w:val="page number"/>
    <w:basedOn w:val="DefaultParagraphFont"/>
    <w:uiPriority w:val="99"/>
    <w:semiHidden/>
    <w:unhideWhenUsed/>
    <w:rsid w:val="00E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ustlii.edu.au/au/legis/cth/consol_act/rda1975202/s5.html" TargetMode="External"/><Relationship Id="rId10" Type="http://schemas.openxmlformats.org/officeDocument/2006/relationships/hyperlink" Target="mailto:media@alh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2016-11-23T03:34:00Z</cp:lastPrinted>
  <dcterms:created xsi:type="dcterms:W3CDTF">2016-11-22T02:14:00Z</dcterms:created>
  <dcterms:modified xsi:type="dcterms:W3CDTF">2016-11-23T03:36:00Z</dcterms:modified>
  <cp:category/>
</cp:coreProperties>
</file>